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7049135" cy="6398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6398260"/>
                    </a:xfrm>
                    <a:prstGeom prst="rect">
                      <a:avLst/>
                    </a:prstGeom>
                    <a:noFill/>
                  </pic:spPr>
                </pic:pic>
              </a:graphicData>
            </a:graphic>
          </wp:anchor>
        </w:drawing>
      </w:r>
    </w:p>
    <w:p>
      <w:pPr>
        <w:spacing w:after="0" w:line="1024" w:lineRule="exact"/>
        <w:rPr>
          <w:sz w:val="24"/>
          <w:szCs w:val="24"/>
          <w:color w:val="auto"/>
        </w:rPr>
      </w:pPr>
    </w:p>
    <w:p>
      <w:pPr>
        <w:sectPr>
          <w:pgSz w:w="11900" w:h="16838" w:orient="portrait"/>
          <w:cols w:equalWidth="0" w:num="2">
            <w:col w:w="2300" w:space="380"/>
            <w:col w:w="840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2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restart"/>
          </w:tcPr>
          <w:p>
            <w:pPr>
              <w:spacing w:after="0" w:line="229" w:lineRule="exact"/>
              <w:rPr>
                <w:rFonts w:ascii="Times New Roman" w:cs="Times New Roman" w:eastAsia="Times New Roman" w:hAnsi="Times New Roman"/>
                <w:sz w:val="20"/>
                <w:szCs w:val="20"/>
                <w:color w:val="0000EE"/>
                <w:w w:val="96"/>
              </w:rPr>
            </w:pPr>
            <w:hyperlink r:id="rId13">
              <w:r>
                <w:rPr>
                  <w:rFonts w:ascii="Times New Roman" w:cs="Times New Roman" w:eastAsia="Times New Roman" w:hAnsi="Times New Roman"/>
                  <w:sz w:val="20"/>
                  <w:szCs w:val="20"/>
                  <w:color w:val="0000EE"/>
                  <w:w w:val="96"/>
                </w:rPr>
                <w:t>Jalota Deepika</w:t>
              </w:r>
            </w:hyperlink>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tcPr>
          <w:p>
            <w:pPr>
              <w:ind w:left="60"/>
              <w:spacing w:after="0" w:line="162"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PMV Pharmaceuticals,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PMVP</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tcBorders>
              <w:bottom w:val="single" w:sz="8" w:color="0000EE"/>
            </w:tcBorders>
            <w:gridSpan w:val="2"/>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16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160"/>
              <w:spacing w:after="0" w:line="117" w:lineRule="exact"/>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10"/>
                <w:szCs w:val="10"/>
                <w:color w:val="auto"/>
              </w:rPr>
            </w:pPr>
          </w:p>
        </w:tc>
        <w:tc>
          <w:tcPr>
            <w:tcW w:w="1440" w:type="dxa"/>
            <w:vAlign w:val="bottom"/>
            <w:gridSpan w:val="4"/>
          </w:tcPr>
          <w:p>
            <w:pPr>
              <w:ind w:left="200"/>
              <w:spacing w:after="0" w:line="117"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600" w:type="dxa"/>
            <w:vAlign w:val="bottom"/>
            <w:tcBorders>
              <w:top w:val="single" w:sz="8" w:color="EEEEEE"/>
            </w:tcBorders>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1200" w:type="dxa"/>
            <w:vAlign w:val="bottom"/>
            <w:tcBorders>
              <w:top w:val="single" w:sz="8" w:color="EEEEEE"/>
              <w:bottom w:val="single" w:sz="8" w:color="EEEEEE"/>
            </w:tcBorders>
            <w:gridSpan w:val="2"/>
            <w:vMerge w:val="restart"/>
          </w:tcPr>
          <w:p>
            <w:pPr>
              <w:ind w:left="40"/>
              <w:spacing w:after="0"/>
              <w:rPr>
                <w:sz w:val="20"/>
                <w:szCs w:val="20"/>
                <w:color w:val="auto"/>
              </w:rPr>
            </w:pPr>
            <w:r>
              <w:rPr>
                <w:rFonts w:ascii="Arial" w:cs="Arial" w:eastAsia="Arial" w:hAnsi="Arial"/>
                <w:sz w:val="12"/>
                <w:szCs w:val="12"/>
                <w:color w:val="auto"/>
              </w:rPr>
              <w:t>(First)</w:t>
            </w:r>
          </w:p>
        </w:tc>
        <w:tc>
          <w:tcPr>
            <w:tcW w:w="1020" w:type="dxa"/>
            <w:vAlign w:val="bottom"/>
            <w:tcBorders>
              <w:top w:val="single" w:sz="8" w:color="EEEEEE"/>
              <w:bottom w:val="single" w:sz="8" w:color="EEEEEE"/>
            </w:tcBorders>
            <w:vMerge w:val="restart"/>
          </w:tcPr>
          <w:p>
            <w:pPr>
              <w:ind w:left="60"/>
              <w:spacing w:after="0"/>
              <w:rPr>
                <w:sz w:val="20"/>
                <w:szCs w:val="20"/>
                <w:color w:val="auto"/>
              </w:rPr>
            </w:pPr>
            <w:r>
              <w:rPr>
                <w:rFonts w:ascii="Arial" w:cs="Arial" w:eastAsia="Arial" w:hAnsi="Arial"/>
                <w:sz w:val="12"/>
                <w:szCs w:val="12"/>
                <w:color w:val="auto"/>
              </w:rPr>
              <w:t>(Middle)</w:t>
            </w:r>
          </w:p>
        </w:tc>
        <w:tc>
          <w:tcPr>
            <w:tcW w:w="24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ind w:left="160"/>
              <w:spacing w:after="0" w:line="114" w:lineRule="exact"/>
              <w:rPr>
                <w:sz w:val="20"/>
                <w:szCs w:val="20"/>
                <w:color w:val="auto"/>
              </w:rPr>
            </w:pPr>
            <w:r>
              <w:rPr>
                <w:rFonts w:ascii="Arial" w:cs="Arial" w:eastAsia="Arial" w:hAnsi="Arial"/>
                <w:sz w:val="12"/>
                <w:szCs w:val="12"/>
                <w:color w:val="auto"/>
              </w:rPr>
              <w:t>below)</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ind w:left="200"/>
              <w:spacing w:after="0" w:line="114"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gridSpan w:val="4"/>
            <w:vMerge w:val="restart"/>
          </w:tcPr>
          <w:p>
            <w:pPr>
              <w:ind w:left="340"/>
              <w:spacing w:after="0"/>
              <w:rPr>
                <w:sz w:val="20"/>
                <w:szCs w:val="20"/>
                <w:color w:val="auto"/>
              </w:rPr>
            </w:pPr>
            <w:r>
              <w:rPr>
                <w:rFonts w:ascii="Times New Roman" w:cs="Times New Roman" w:eastAsia="Times New Roman" w:hAnsi="Times New Roman"/>
                <w:sz w:val="16"/>
                <w:szCs w:val="16"/>
                <w:color w:val="0000FF"/>
              </w:rPr>
              <w:t>Chief Development Officer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color w:val="0000FF"/>
              </w:rPr>
              <w:t>C/O PMV PHARMACEUTICALS, INC.</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20" w:type="dxa"/>
            <w:vAlign w:val="bottom"/>
            <w:gridSpan w:val="7"/>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16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20" w:type="dxa"/>
            <w:vAlign w:val="bottom"/>
            <w:gridSpan w:val="7"/>
            <w:vMerge w:val="continue"/>
          </w:tcPr>
          <w:p>
            <w:pPr>
              <w:spacing w:after="0"/>
              <w:rPr>
                <w:sz w:val="18"/>
                <w:szCs w:val="18"/>
                <w:color w:val="auto"/>
              </w:rPr>
            </w:pPr>
          </w:p>
        </w:tc>
        <w:tc>
          <w:tcPr>
            <w:tcW w:w="138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0000FF"/>
              </w:rPr>
              <w:t>08/13/2024</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ONE RESEARCH WAY</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200" w:type="dxa"/>
            <w:vAlign w:val="bottom"/>
            <w:tcBorders>
              <w:bottom w:val="single" w:sz="8" w:color="808080"/>
            </w:tcBorders>
            <w:gridSpan w:val="4"/>
          </w:tcPr>
          <w:p>
            <w:pPr>
              <w:spacing w:after="0"/>
              <w:rPr>
                <w:sz w:val="17"/>
                <w:szCs w:val="17"/>
                <w:color w:val="auto"/>
              </w:rPr>
            </w:pPr>
          </w:p>
        </w:tc>
        <w:tc>
          <w:tcPr>
            <w:tcW w:w="1380" w:type="dxa"/>
            <w:vAlign w:val="bottom"/>
            <w:tcBorders>
              <w:bottom w:val="single" w:sz="8" w:color="808080"/>
            </w:tcBorders>
            <w:gridSpan w:val="3"/>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gridSpan w:val="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top w:val="single" w:sz="8" w:color="2C2C2C"/>
            </w:tcBorders>
            <w:gridSpan w:val="8"/>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00" w:type="dxa"/>
            <w:vAlign w:val="bottom"/>
            <w:tcBorders>
              <w:top w:val="single" w:sz="8" w:color="2C2C2C"/>
            </w:tcBorders>
          </w:tcPr>
          <w:p>
            <w:pPr>
              <w:spacing w:after="0"/>
              <w:rPr>
                <w:sz w:val="17"/>
                <w:szCs w:val="17"/>
                <w:color w:val="auto"/>
              </w:rPr>
            </w:pPr>
          </w:p>
        </w:tc>
        <w:tc>
          <w:tcPr>
            <w:tcW w:w="328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PRINCETON</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NJ</w:t>
            </w:r>
          </w:p>
        </w:tc>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08540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7"/>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tcPr>
          <w:p>
            <w:pPr>
              <w:ind w:left="6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80" w:type="dxa"/>
            <w:vAlign w:val="bottom"/>
            <w:tcBorders>
              <w:top w:val="single" w:sz="8" w:color="2C2C2C"/>
            </w:tcBorders>
            <w:gridSpan w:val="16"/>
          </w:tcPr>
          <w:p>
            <w:pPr>
              <w:ind w:left="10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40" w:type="dxa"/>
            <w:vAlign w:val="bottom"/>
          </w:tcPr>
          <w:p>
            <w:pPr>
              <w:spacing w:after="0"/>
              <w:rPr>
                <w:sz w:val="14"/>
                <w:szCs w:val="14"/>
                <w:color w:val="auto"/>
              </w:rPr>
            </w:pPr>
          </w:p>
        </w:tc>
        <w:tc>
          <w:tcPr>
            <w:tcW w:w="196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40" w:type="dxa"/>
            <w:vAlign w:val="bottom"/>
            <w:gridSpan w:val="5"/>
          </w:tcPr>
          <w:p>
            <w:pPr>
              <w:ind w:left="88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jc w:val="center"/>
              <w:ind w:righ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40" w:type="dxa"/>
            <w:vAlign w:val="bottom"/>
            <w:gridSpan w:val="5"/>
          </w:tcPr>
          <w:p>
            <w:pPr>
              <w:ind w:left="880"/>
              <w:spacing w:after="0" w:line="124"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jc w:val="center"/>
              <w:ind w:right="21"/>
              <w:spacing w:after="0"/>
              <w:rPr>
                <w:sz w:val="20"/>
                <w:szCs w:val="20"/>
                <w:color w:val="auto"/>
              </w:rPr>
            </w:pPr>
            <w:r>
              <w:rPr>
                <w:rFonts w:ascii="Arial" w:cs="Arial" w:eastAsia="Arial" w:hAnsi="Arial"/>
                <w:sz w:val="11"/>
                <w:szCs w:val="11"/>
                <w:b w:val="1"/>
                <w:bCs w:val="1"/>
                <w:color w:val="auto"/>
                <w:w w:val="91"/>
              </w:rPr>
              <w:t>(D)</w:t>
            </w:r>
          </w:p>
        </w:tc>
        <w:tc>
          <w:tcPr>
            <w:tcW w:w="620" w:type="dxa"/>
            <w:vAlign w:val="bottom"/>
            <w:gridSpan w:val="3"/>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4"/>
          </w:tcPr>
          <w:p>
            <w:pPr>
              <w:spacing w:after="0"/>
              <w:rPr>
                <w:sz w:val="6"/>
                <w:szCs w:val="6"/>
                <w:color w:val="auto"/>
              </w:rPr>
            </w:pPr>
          </w:p>
        </w:tc>
        <w:tc>
          <w:tcPr>
            <w:tcW w:w="2200" w:type="dxa"/>
            <w:vAlign w:val="bottom"/>
            <w:tcBorders>
              <w:bottom w:val="single" w:sz="8" w:color="2C2C2C"/>
            </w:tcBorders>
            <w:gridSpan w:val="4"/>
          </w:tcPr>
          <w:p>
            <w:pPr>
              <w:spacing w:after="0"/>
              <w:rPr>
                <w:sz w:val="6"/>
                <w:szCs w:val="6"/>
                <w:color w:val="auto"/>
              </w:rPr>
            </w:pPr>
          </w:p>
        </w:tc>
        <w:tc>
          <w:tcPr>
            <w:tcW w:w="1980" w:type="dxa"/>
            <w:vAlign w:val="bottom"/>
            <w:tcBorders>
              <w:bottom w:val="single" w:sz="8" w:color="2C2C2C"/>
            </w:tcBorders>
            <w:gridSpan w:val="5"/>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5"/>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0" w:type="dxa"/>
            <w:vAlign w:val="bottom"/>
            <w:gridSpan w:val="14"/>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Derivative</w:t>
            </w:r>
          </w:p>
        </w:tc>
        <w:tc>
          <w:tcPr>
            <w:tcW w:w="500" w:type="dxa"/>
            <w:vAlign w:val="bottom"/>
          </w:tcPr>
          <w:p>
            <w:pPr>
              <w:spacing w:after="0"/>
              <w:rPr>
                <w:sz w:val="10"/>
                <w:szCs w:val="10"/>
                <w:color w:val="auto"/>
              </w:rPr>
            </w:pP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Securities</w:t>
            </w:r>
          </w:p>
        </w:tc>
        <w:tc>
          <w:tcPr>
            <w:tcW w:w="500" w:type="dxa"/>
            <w:vAlign w:val="bottom"/>
          </w:tcPr>
          <w:p>
            <w:pPr>
              <w:spacing w:after="0"/>
              <w:rPr>
                <w:sz w:val="10"/>
                <w:szCs w:val="10"/>
                <w:color w:val="auto"/>
              </w:rPr>
            </w:pP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vMerge w:val="restart"/>
          </w:tcPr>
          <w:p>
            <w:pPr>
              <w:jc w:val="center"/>
              <w:ind w:right="21"/>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22,674</w:t>
            </w:r>
          </w:p>
        </w:tc>
        <w:tc>
          <w:tcPr>
            <w:tcW w:w="20" w:type="dxa"/>
            <w:vAlign w:val="bottom"/>
          </w:tcPr>
          <w:p>
            <w:pPr>
              <w:spacing w:after="0"/>
              <w:rPr>
                <w:sz w:val="11"/>
                <w:szCs w:val="11"/>
                <w:color w:val="auto"/>
              </w:rPr>
            </w:pPr>
          </w:p>
        </w:tc>
        <w:tc>
          <w:tcPr>
            <w:tcW w:w="700" w:type="dxa"/>
            <w:vAlign w:val="bottom"/>
            <w:vMerge w:val="restart"/>
          </w:tcPr>
          <w:p>
            <w:pPr>
              <w:jc w:val="center"/>
              <w:ind w:right="2"/>
              <w:spacing w:after="0"/>
              <w:rPr>
                <w:sz w:val="20"/>
                <w:szCs w:val="20"/>
                <w:color w:val="auto"/>
              </w:rPr>
            </w:pPr>
            <w:r>
              <w:rPr>
                <w:rFonts w:ascii="Times New Roman" w:cs="Times New Roman" w:eastAsia="Times New Roman" w:hAnsi="Times New Roman"/>
                <w:sz w:val="10"/>
                <w:szCs w:val="10"/>
                <w:color w:val="008000"/>
              </w:rPr>
              <w:t>(2)</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00" w:type="dxa"/>
            <w:vAlign w:val="bottom"/>
            <w:vMerge w:val="restart"/>
          </w:tcPr>
          <w:p>
            <w:pPr>
              <w:jc w:val="center"/>
              <w:ind w:left="8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28.33</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08/13/2024</w:t>
            </w:r>
          </w:p>
        </w:tc>
        <w:tc>
          <w:tcPr>
            <w:tcW w:w="1020" w:type="dxa"/>
            <w:vAlign w:val="bottom"/>
          </w:tcPr>
          <w:p>
            <w:pPr>
              <w:spacing w:after="0"/>
              <w:rPr>
                <w:sz w:val="5"/>
                <w:szCs w:val="5"/>
                <w:color w:val="auto"/>
              </w:rPr>
            </w:pPr>
          </w:p>
        </w:tc>
        <w:tc>
          <w:tcPr>
            <w:tcW w:w="820" w:type="dxa"/>
            <w:vAlign w:val="bottom"/>
            <w:gridSpan w:val="4"/>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5"/>
                <w:szCs w:val="5"/>
                <w:color w:val="auto"/>
              </w:rPr>
            </w:pPr>
          </w:p>
        </w:tc>
        <w:tc>
          <w:tcPr>
            <w:tcW w:w="500" w:type="dxa"/>
            <w:vAlign w:val="bottom"/>
            <w:vMerge w:val="restart"/>
          </w:tcPr>
          <w:p>
            <w:pPr>
              <w:jc w:val="center"/>
              <w:ind w:right="19"/>
              <w:spacing w:after="0" w:line="137" w:lineRule="exact"/>
              <w:rPr>
                <w:sz w:val="20"/>
                <w:szCs w:val="20"/>
                <w:color w:val="auto"/>
              </w:rPr>
            </w:pPr>
            <w:r>
              <w:rPr>
                <w:rFonts w:ascii="Times New Roman" w:cs="Times New Roman" w:eastAsia="Times New Roman" w:hAnsi="Times New Roman"/>
                <w:sz w:val="12"/>
                <w:szCs w:val="12"/>
                <w:color w:val="0000FF"/>
              </w:rPr>
              <w:t>22,674</w:t>
            </w: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05/11/2031</w:t>
            </w:r>
          </w:p>
        </w:tc>
        <w:tc>
          <w:tcPr>
            <w:tcW w:w="62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restart"/>
          </w:tcPr>
          <w:p>
            <w:pPr>
              <w:jc w:val="center"/>
              <w:ind w:left="242"/>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jc w:val="center"/>
              <w:ind w:right="41"/>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(3)</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vMerge w:val="restart"/>
          </w:tcPr>
          <w:p>
            <w:pPr>
              <w:jc w:val="center"/>
              <w:ind w:right="21"/>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68,100</w:t>
            </w:r>
          </w:p>
        </w:tc>
        <w:tc>
          <w:tcPr>
            <w:tcW w:w="20" w:type="dxa"/>
            <w:vAlign w:val="bottom"/>
          </w:tcPr>
          <w:p>
            <w:pPr>
              <w:spacing w:after="0"/>
              <w:rPr>
                <w:sz w:val="11"/>
                <w:szCs w:val="11"/>
                <w:color w:val="auto"/>
              </w:rPr>
            </w:pPr>
          </w:p>
        </w:tc>
        <w:tc>
          <w:tcPr>
            <w:tcW w:w="700" w:type="dxa"/>
            <w:vAlign w:val="bottom"/>
            <w:vMerge w:val="restart"/>
          </w:tcPr>
          <w:p>
            <w:pPr>
              <w:jc w:val="center"/>
              <w:ind w:right="2"/>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00" w:type="dxa"/>
            <w:vAlign w:val="bottom"/>
            <w:vMerge w:val="restart"/>
          </w:tcPr>
          <w:p>
            <w:pPr>
              <w:jc w:val="center"/>
              <w:ind w:left="8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16.29</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08/13/2024</w:t>
            </w:r>
          </w:p>
        </w:tc>
        <w:tc>
          <w:tcPr>
            <w:tcW w:w="1020" w:type="dxa"/>
            <w:vAlign w:val="bottom"/>
          </w:tcPr>
          <w:p>
            <w:pPr>
              <w:spacing w:after="0"/>
              <w:rPr>
                <w:sz w:val="5"/>
                <w:szCs w:val="5"/>
                <w:color w:val="auto"/>
              </w:rPr>
            </w:pPr>
          </w:p>
        </w:tc>
        <w:tc>
          <w:tcPr>
            <w:tcW w:w="820" w:type="dxa"/>
            <w:vAlign w:val="bottom"/>
            <w:gridSpan w:val="4"/>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5"/>
                <w:szCs w:val="5"/>
                <w:color w:val="auto"/>
              </w:rPr>
            </w:pPr>
          </w:p>
        </w:tc>
        <w:tc>
          <w:tcPr>
            <w:tcW w:w="500" w:type="dxa"/>
            <w:vAlign w:val="bottom"/>
            <w:vMerge w:val="restart"/>
          </w:tcPr>
          <w:p>
            <w:pPr>
              <w:jc w:val="center"/>
              <w:ind w:right="19"/>
              <w:spacing w:after="0" w:line="137" w:lineRule="exact"/>
              <w:rPr>
                <w:sz w:val="20"/>
                <w:szCs w:val="20"/>
                <w:color w:val="auto"/>
              </w:rPr>
            </w:pPr>
            <w:r>
              <w:rPr>
                <w:rFonts w:ascii="Times New Roman" w:cs="Times New Roman" w:eastAsia="Times New Roman" w:hAnsi="Times New Roman"/>
                <w:sz w:val="12"/>
                <w:szCs w:val="12"/>
                <w:color w:val="0000FF"/>
              </w:rPr>
              <w:t>68,100</w:t>
            </w: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02/10/2033</w:t>
            </w:r>
          </w:p>
        </w:tc>
        <w:tc>
          <w:tcPr>
            <w:tcW w:w="62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restart"/>
          </w:tcPr>
          <w:p>
            <w:pPr>
              <w:jc w:val="center"/>
              <w:ind w:left="242"/>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jc w:val="center"/>
              <w:ind w:right="41"/>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(5)</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vMerge w:val="restart"/>
          </w:tcPr>
          <w:p>
            <w:pPr>
              <w:jc w:val="center"/>
              <w:ind w:right="21"/>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90,774</w:t>
            </w:r>
          </w:p>
        </w:tc>
        <w:tc>
          <w:tcPr>
            <w:tcW w:w="20" w:type="dxa"/>
            <w:vAlign w:val="bottom"/>
          </w:tcPr>
          <w:p>
            <w:pPr>
              <w:spacing w:after="0"/>
              <w:rPr>
                <w:sz w:val="11"/>
                <w:szCs w:val="11"/>
                <w:color w:val="auto"/>
              </w:rPr>
            </w:pPr>
          </w:p>
        </w:tc>
        <w:tc>
          <w:tcPr>
            <w:tcW w:w="700" w:type="dxa"/>
            <w:vAlign w:val="bottom"/>
            <w:vMerge w:val="restart"/>
          </w:tcPr>
          <w:p>
            <w:pPr>
              <w:jc w:val="center"/>
              <w:ind w:right="2"/>
              <w:spacing w:after="0"/>
              <w:rPr>
                <w:sz w:val="20"/>
                <w:szCs w:val="20"/>
                <w:color w:val="auto"/>
              </w:rPr>
            </w:pPr>
            <w:r>
              <w:rPr>
                <w:rFonts w:ascii="Times New Roman" w:cs="Times New Roman" w:eastAsia="Times New Roman" w:hAnsi="Times New Roman"/>
                <w:sz w:val="10"/>
                <w:szCs w:val="10"/>
                <w:color w:val="008000"/>
              </w:rPr>
              <w:t>(2)(4)</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00" w:type="dxa"/>
            <w:vAlign w:val="bottom"/>
            <w:vMerge w:val="restart"/>
          </w:tcPr>
          <w:p>
            <w:pPr>
              <w:jc w:val="center"/>
              <w:ind w:left="10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1.48</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08/13/2024</w:t>
            </w:r>
          </w:p>
        </w:tc>
        <w:tc>
          <w:tcPr>
            <w:tcW w:w="1020" w:type="dxa"/>
            <w:vAlign w:val="bottom"/>
          </w:tcPr>
          <w:p>
            <w:pPr>
              <w:spacing w:after="0"/>
              <w:rPr>
                <w:sz w:val="5"/>
                <w:szCs w:val="5"/>
                <w:color w:val="auto"/>
              </w:rPr>
            </w:pPr>
          </w:p>
        </w:tc>
        <w:tc>
          <w:tcPr>
            <w:tcW w:w="820" w:type="dxa"/>
            <w:vAlign w:val="bottom"/>
            <w:gridSpan w:val="4"/>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60" w:type="dxa"/>
            <w:vAlign w:val="bottom"/>
            <w:vMerge w:val="restart"/>
          </w:tcPr>
          <w:p>
            <w:pPr>
              <w:jc w:val="right"/>
              <w:ind w:right="103"/>
              <w:spacing w:after="0" w:line="137" w:lineRule="exact"/>
              <w:rPr>
                <w:sz w:val="20"/>
                <w:szCs w:val="20"/>
                <w:color w:val="auto"/>
              </w:rPr>
            </w:pPr>
            <w:r>
              <w:rPr>
                <w:rFonts w:ascii="Times New Roman" w:cs="Times New Roman" w:eastAsia="Times New Roman" w:hAnsi="Times New Roman"/>
                <w:sz w:val="12"/>
                <w:szCs w:val="12"/>
                <w:color w:val="0000FF"/>
              </w:rPr>
              <w:t>90,774</w:t>
            </w:r>
          </w:p>
        </w:tc>
        <w:tc>
          <w:tcPr>
            <w:tcW w:w="5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08/13/2034</w:t>
            </w:r>
          </w:p>
        </w:tc>
        <w:tc>
          <w:tcPr>
            <w:tcW w:w="62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90,774</w:t>
            </w:r>
          </w:p>
        </w:tc>
        <w:tc>
          <w:tcPr>
            <w:tcW w:w="6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jc w:val="center"/>
              <w:ind w:right="41"/>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(6)</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vMerge w:val="restart"/>
          </w:tcPr>
          <w:p>
            <w:pPr>
              <w:jc w:val="center"/>
              <w:ind w:right="21"/>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125,000</w:t>
            </w:r>
          </w:p>
        </w:tc>
        <w:tc>
          <w:tcPr>
            <w:tcW w:w="20" w:type="dxa"/>
            <w:vAlign w:val="bottom"/>
          </w:tcPr>
          <w:p>
            <w:pPr>
              <w:spacing w:after="0"/>
              <w:rPr>
                <w:sz w:val="11"/>
                <w:szCs w:val="11"/>
                <w:color w:val="auto"/>
              </w:rPr>
            </w:pPr>
          </w:p>
        </w:tc>
        <w:tc>
          <w:tcPr>
            <w:tcW w:w="700" w:type="dxa"/>
            <w:vAlign w:val="bottom"/>
            <w:vMerge w:val="restart"/>
          </w:tcPr>
          <w:p>
            <w:pPr>
              <w:jc w:val="center"/>
              <w:ind w:right="2"/>
              <w:spacing w:after="0"/>
              <w:rPr>
                <w:sz w:val="20"/>
                <w:szCs w:val="20"/>
                <w:color w:val="auto"/>
              </w:rPr>
            </w:pPr>
            <w:r>
              <w:rPr>
                <w:rFonts w:ascii="Times New Roman" w:cs="Times New Roman" w:eastAsia="Times New Roman" w:hAnsi="Times New Roman"/>
                <w:sz w:val="10"/>
                <w:szCs w:val="10"/>
                <w:color w:val="008000"/>
              </w:rPr>
              <w:t>(7)</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600" w:type="dxa"/>
            <w:vAlign w:val="bottom"/>
          </w:tcPr>
          <w:p>
            <w:pPr>
              <w:jc w:val="center"/>
              <w:ind w:left="84"/>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5.7</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08/13/2024</w:t>
            </w:r>
          </w:p>
        </w:tc>
        <w:tc>
          <w:tcPr>
            <w:tcW w:w="1020" w:type="dxa"/>
            <w:vAlign w:val="bottom"/>
          </w:tcPr>
          <w:p>
            <w:pPr>
              <w:spacing w:after="0"/>
              <w:rPr>
                <w:sz w:val="10"/>
                <w:szCs w:val="10"/>
                <w:color w:val="auto"/>
              </w:rPr>
            </w:pPr>
          </w:p>
        </w:tc>
        <w:tc>
          <w:tcPr>
            <w:tcW w:w="820" w:type="dxa"/>
            <w:vAlign w:val="bottom"/>
            <w:gridSpan w:val="4"/>
          </w:tcPr>
          <w:p>
            <w:pPr>
              <w:ind w:left="16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0"/>
                <w:szCs w:val="10"/>
                <w:color w:val="auto"/>
              </w:rPr>
            </w:pPr>
          </w:p>
        </w:tc>
        <w:tc>
          <w:tcPr>
            <w:tcW w:w="500" w:type="dxa"/>
            <w:vAlign w:val="bottom"/>
          </w:tcPr>
          <w:p>
            <w:pPr>
              <w:jc w:val="center"/>
              <w:ind w:right="39"/>
              <w:spacing w:after="0" w:line="125" w:lineRule="exact"/>
              <w:rPr>
                <w:sz w:val="20"/>
                <w:szCs w:val="20"/>
                <w:color w:val="auto"/>
              </w:rPr>
            </w:pPr>
            <w:r>
              <w:rPr>
                <w:rFonts w:ascii="Times New Roman" w:cs="Times New Roman" w:eastAsia="Times New Roman" w:hAnsi="Times New Roman"/>
                <w:sz w:val="12"/>
                <w:szCs w:val="12"/>
                <w:color w:val="0000FF"/>
              </w:rPr>
              <w:t>125,000</w:t>
            </w: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05/12/2033</w:t>
            </w:r>
          </w:p>
        </w:tc>
        <w:tc>
          <w:tcPr>
            <w:tcW w:w="6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20" w:type="dxa"/>
            <w:vAlign w:val="bottom"/>
          </w:tcPr>
          <w:p>
            <w:pPr>
              <w:jc w:val="center"/>
              <w:ind w:left="242"/>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jc w:val="center"/>
              <w:ind w:right="41"/>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(8)</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vMerge w:val="restart"/>
          </w:tcPr>
          <w:p>
            <w:pPr>
              <w:jc w:val="center"/>
              <w:ind w:right="21"/>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125,000</w:t>
            </w:r>
          </w:p>
        </w:tc>
        <w:tc>
          <w:tcPr>
            <w:tcW w:w="20" w:type="dxa"/>
            <w:vAlign w:val="bottom"/>
          </w:tcPr>
          <w:p>
            <w:pPr>
              <w:spacing w:after="0"/>
              <w:rPr>
                <w:sz w:val="11"/>
                <w:szCs w:val="11"/>
                <w:color w:val="auto"/>
              </w:rPr>
            </w:pPr>
          </w:p>
        </w:tc>
        <w:tc>
          <w:tcPr>
            <w:tcW w:w="700" w:type="dxa"/>
            <w:vAlign w:val="bottom"/>
            <w:vMerge w:val="restart"/>
          </w:tcPr>
          <w:p>
            <w:pPr>
              <w:jc w:val="center"/>
              <w:ind w:right="2"/>
              <w:spacing w:after="0"/>
              <w:rPr>
                <w:sz w:val="20"/>
                <w:szCs w:val="20"/>
                <w:color w:val="auto"/>
              </w:rPr>
            </w:pPr>
            <w:r>
              <w:rPr>
                <w:rFonts w:ascii="Times New Roman" w:cs="Times New Roman" w:eastAsia="Times New Roman" w:hAnsi="Times New Roman"/>
                <w:sz w:val="10"/>
                <w:szCs w:val="10"/>
                <w:color w:val="008000"/>
              </w:rPr>
              <w:t>(7)</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600" w:type="dxa"/>
            <w:vAlign w:val="bottom"/>
          </w:tcPr>
          <w:p>
            <w:pPr>
              <w:jc w:val="center"/>
              <w:ind w:left="104"/>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08/13/2024</w:t>
            </w:r>
          </w:p>
        </w:tc>
        <w:tc>
          <w:tcPr>
            <w:tcW w:w="1020" w:type="dxa"/>
            <w:vAlign w:val="bottom"/>
          </w:tcPr>
          <w:p>
            <w:pPr>
              <w:spacing w:after="0"/>
              <w:rPr>
                <w:sz w:val="10"/>
                <w:szCs w:val="10"/>
                <w:color w:val="auto"/>
              </w:rPr>
            </w:pPr>
          </w:p>
        </w:tc>
        <w:tc>
          <w:tcPr>
            <w:tcW w:w="820" w:type="dxa"/>
            <w:vAlign w:val="bottom"/>
            <w:gridSpan w:val="4"/>
          </w:tcPr>
          <w:p>
            <w:pPr>
              <w:ind w:left="160"/>
              <w:spacing w:after="0" w:line="125" w:lineRule="exact"/>
              <w:rPr>
                <w:sz w:val="20"/>
                <w:szCs w:val="20"/>
                <w:color w:val="auto"/>
              </w:rPr>
            </w:pPr>
            <w:r>
              <w:rPr>
                <w:rFonts w:ascii="Times New Roman" w:cs="Times New Roman" w:eastAsia="Times New Roman" w:hAnsi="Times New Roman"/>
                <w:sz w:val="12"/>
                <w:szCs w:val="12"/>
                <w:color w:val="0000FF"/>
              </w:rPr>
              <w:t>A</w:t>
            </w:r>
          </w:p>
        </w:tc>
        <w:tc>
          <w:tcPr>
            <w:tcW w:w="560" w:type="dxa"/>
            <w:vAlign w:val="bottom"/>
          </w:tcPr>
          <w:p>
            <w:pPr>
              <w:jc w:val="right"/>
              <w:ind w:right="63"/>
              <w:spacing w:after="0" w:line="125" w:lineRule="exact"/>
              <w:rPr>
                <w:sz w:val="20"/>
                <w:szCs w:val="20"/>
                <w:color w:val="auto"/>
              </w:rPr>
            </w:pPr>
            <w:r>
              <w:rPr>
                <w:rFonts w:ascii="Times New Roman" w:cs="Times New Roman" w:eastAsia="Times New Roman" w:hAnsi="Times New Roman"/>
                <w:sz w:val="12"/>
                <w:szCs w:val="12"/>
                <w:color w:val="0000FF"/>
              </w:rPr>
              <w:t>125,000</w:t>
            </w:r>
          </w:p>
        </w:tc>
        <w:tc>
          <w:tcPr>
            <w:tcW w:w="5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03/13/2034</w:t>
            </w:r>
          </w:p>
        </w:tc>
        <w:tc>
          <w:tcPr>
            <w:tcW w:w="6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125,000</w:t>
            </w: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jc w:val="center"/>
              <w:ind w:right="41"/>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subject to the option vest in 48 equal monthly installments beginning on June 12, 2021.</w:t>
      </w:r>
    </w:p>
    <w:p>
      <w:pPr>
        <w:spacing w:after="0" w:line="48" w:lineRule="exact"/>
        <w:rPr>
          <w:rFonts w:ascii="Times New Roman" w:cs="Times New Roman" w:eastAsia="Times New Roman" w:hAnsi="Times New Roman"/>
          <w:sz w:val="12"/>
          <w:szCs w:val="12"/>
          <w:color w:val="008000"/>
        </w:rPr>
      </w:pPr>
    </w:p>
    <w:p>
      <w:pPr>
        <w:ind w:left="40" w:right="44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August 13, 2024, the issuer cancelled, pursuant to the issuer's option exchange program, an option for 22,674 shares of PMV common stock granted to the reporting person on May 12, 2021. In exchange, the reporting person received a replacement option, for 22,674 shares, having an exercise price of $1.48 per share.</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subject to the option vest in 48 equal monthly installments beginning on March 10, 2022.</w:t>
      </w:r>
    </w:p>
    <w:p>
      <w:pPr>
        <w:spacing w:after="0" w:line="48" w:lineRule="exact"/>
        <w:rPr>
          <w:rFonts w:ascii="Times New Roman" w:cs="Times New Roman" w:eastAsia="Times New Roman" w:hAnsi="Times New Roman"/>
          <w:sz w:val="12"/>
          <w:szCs w:val="12"/>
          <w:color w:val="008000"/>
        </w:rPr>
      </w:pPr>
    </w:p>
    <w:p>
      <w:pPr>
        <w:ind w:left="40" w:right="22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August 13, 2024, the issuer cancelled, pursuant to the issuer's option exchange program, an option for 68,100 shares of PMV common stock granted to the reporting person on February 10, 2022. In exchange, the reporting person received a replacement option, for 68,100 shares, having an exercise price of $1.48 per share.</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One-third of the shares subject to the option vest on August 13, 2025 and 1/36th vest monthly thereafter.</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subject to the option vest in 48 equal monthly installments beginning on June 12, 2023.</w:t>
      </w:r>
    </w:p>
    <w:p>
      <w:pPr>
        <w:spacing w:after="0" w:line="48" w:lineRule="exact"/>
        <w:rPr>
          <w:rFonts w:ascii="Times New Roman" w:cs="Times New Roman" w:eastAsia="Times New Roman" w:hAnsi="Times New Roman"/>
          <w:sz w:val="12"/>
          <w:szCs w:val="12"/>
          <w:color w:val="008000"/>
        </w:rPr>
      </w:pPr>
    </w:p>
    <w:p>
      <w:pPr>
        <w:ind w:left="40" w:right="38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August 13, 2024, the issuer cancelled, pursuant to the issuer's option exchange program, an option for 125,000 shares of PMV common stock granted to the reporting person on May 12, 2023. In exchange, the reporting person received a replacement option, for 125,000 shares, having an exercise price of $1.48 per share.</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One-fourth of the shares subject to the option vest on August 13, 2025 and 1/48th vest monthly thereafter.</w:t>
      </w:r>
    </w:p>
    <w:p>
      <w:pPr>
        <w:spacing w:after="0" w:line="6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Robert Ticktin, by power of</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10/03/2024</w:t>
            </w:r>
          </w:p>
        </w:tc>
        <w:tc>
          <w:tcPr>
            <w:tcW w:w="0" w:type="dxa"/>
            <w:vAlign w:val="bottom"/>
          </w:tcPr>
          <w:p>
            <w:pPr>
              <w:spacing w:after="0"/>
              <w:rPr>
                <w:sz w:val="1"/>
                <w:szCs w:val="1"/>
                <w:color w:val="auto"/>
              </w:rPr>
            </w:pPr>
          </w:p>
        </w:tc>
      </w:tr>
      <w:tr>
        <w:trPr>
          <w:trHeight w:val="84"/>
        </w:trPr>
        <w:tc>
          <w:tcPr>
            <w:tcW w:w="1980" w:type="dxa"/>
            <w:vAlign w:val="bottom"/>
            <w:tcBorders>
              <w:top w:val="single" w:sz="8" w:color="auto"/>
              <w:bottom w:val="single" w:sz="8" w:color="auto"/>
            </w:tcBorders>
            <w:gridSpan w:val="2"/>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attorney</w:t>
            </w:r>
          </w:p>
        </w:tc>
        <w:tc>
          <w:tcPr>
            <w:tcW w:w="220" w:type="dxa"/>
            <w:vAlign w:val="bottom"/>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98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5192" TargetMode="External"/><Relationship Id="rId14"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2024-10-03T15:53:51Z</dcterms:created>
  <dcterms:modified xsi:type="dcterms:W3CDTF">2024-10-03T15:53:51Z</dcterms:modified>
</cp:coreProperties>
</file>