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COO,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acquired under the Issuer's stock purchase plan on November 20,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Winston Kung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01/30/2022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2023-01-30T15:42:22Z</dcterms:created>
  <dcterms:modified xsi:type="dcterms:W3CDTF">2023-01-30T15:42:22Z</dcterms:modified>
</cp:coreProperties>
</file>