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0" w:right="479" w:bottom="6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Nextech V Oncology S.C.S.,</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6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SICAV-SIF</w:t>
              </w:r>
            </w:hyperlink>
          </w:p>
        </w:tc>
        <w:tc>
          <w:tcPr>
            <w:tcW w:w="26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0"/>
          <w:szCs w:val="20"/>
          <w:color w:val="auto"/>
        </w:rPr>
      </w:pPr>
    </w:p>
    <w:p>
      <w:pPr>
        <w:sectPr>
          <w:pgSz w:w="11900" w:h="16838" w:orient="portrait"/>
          <w:cols w:equalWidth="0" w:num="2">
            <w:col w:w="4720" w:space="280"/>
            <w:col w:w="5940"/>
          </w:cols>
          <w:pgMar w:left="480" w:top="230" w:right="479" w:bottom="62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80"/>
              <w:spacing w:after="0"/>
              <w:rPr>
                <w:sz w:val="20"/>
                <w:szCs w:val="20"/>
                <w:color w:val="auto"/>
              </w:rPr>
            </w:pPr>
            <w:r>
              <w:rPr>
                <w:rFonts w:ascii="Arial" w:cs="Arial" w:eastAsia="Arial" w:hAnsi="Arial"/>
                <w:sz w:val="15"/>
                <w:szCs w:val="15"/>
                <w:color w:val="auto"/>
              </w:rPr>
              <w:t>(First)</w:t>
            </w:r>
          </w:p>
        </w:tc>
        <w:tc>
          <w:tcPr>
            <w:tcW w:w="320" w:type="dxa"/>
            <w:vAlign w:val="bottom"/>
          </w:tcPr>
          <w:p>
            <w:pPr>
              <w:spacing w:after="0"/>
              <w:rPr>
                <w:sz w:val="17"/>
                <w:szCs w:val="17"/>
                <w:color w:val="auto"/>
              </w:rPr>
            </w:pP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 RUE LOU HEMMER</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7"/>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SENNINGERBERG,</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N4</w:t>
            </w:r>
          </w:p>
        </w:tc>
        <w:tc>
          <w:tcPr>
            <w:tcW w:w="10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L-1748</w:t>
            </w:r>
          </w:p>
        </w:tc>
      </w:tr>
      <w:tr>
        <w:trPr>
          <w:trHeight w:val="254"/>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LUXEMBOURG</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0"/>
          <w:szCs w:val="20"/>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09" w:lineRule="exact"/>
        <w:rPr>
          <w:sz w:val="20"/>
          <w:szCs w:val="20"/>
          <w:color w:val="auto"/>
        </w:rPr>
      </w:pPr>
    </w:p>
    <w:p>
      <w:pPr>
        <w:sectPr>
          <w:pgSz w:w="11900" w:h="16838" w:orient="portrait"/>
          <w:cols w:equalWidth="0" w:num="3">
            <w:col w:w="4277" w:space="720"/>
            <w:col w:w="3003" w:space="269"/>
            <w:col w:w="2671"/>
          </w:cols>
          <w:pgMar w:left="480" w:top="230" w:right="479" w:bottom="620" w:gutter="0" w:footer="0" w:header="0"/>
          <w:type w:val="continuous"/>
        </w:sectPr>
      </w:pPr>
    </w:p>
    <w:p>
      <w:pPr>
        <w:spacing w:after="0" w:line="68"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1,768,023</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20"/>
                <w:szCs w:val="20"/>
                <w:color w:val="0000FF"/>
              </w:rPr>
              <w:t>760,267</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40" w:right="10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Nextech V Oncology S.C.S., SICAV-SIF.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Mr. Schroeder is a director of the Issuer and files separate Section 16 reports. Nextech V GP S.a r.l. is the general partner of Nextech V Oncology S.C.S., SICAV SIF. Dalia Bleyer, Philippe Detournay and Thomas Lips are Managers of Nextech V GP S.a r.l. and each of Nextech V GP S.a r.l., Ms. Bleyer and Messrs. Detournay and Lips may be deemed to share voting and investment power with respect to the shares reported herein and disclaim beneficial ownership over such shares, except to the extent of his, her or its respective pecuniary interest therein, if any.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Nextech V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528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S.C.S., SICAV-SIF,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31889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889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Dalia Bleyer and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874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Philippe Detournay,</w:t>
      </w:r>
      <w:r>
        <w:rPr>
          <w:sz w:val="20"/>
          <w:szCs w:val="20"/>
          <w:color w:val="auto"/>
        </w:rPr>
        <w:tab/>
      </w: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Managers of Nextech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868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GP S.a r.l.,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0807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75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57505" cy="9525"/>
                    </a:xfrm>
                    <a:prstGeom prst="rect">
                      <a:avLst/>
                    </a:prstGeom>
                    <a:noFill/>
                  </pic:spPr>
                </pic:pic>
              </a:graphicData>
            </a:graphic>
          </wp:anchor>
        </w:drawing>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6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0" Type="http://schemas.openxmlformats.org/officeDocument/2006/relationships/hyperlink" Target="http://www.sec.gov/cgi-bin/browse-edgar?action=getcompany&amp;CIK=0001712922"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2020-09-24T18:36:28Z</dcterms:created>
  <dcterms:modified xsi:type="dcterms:W3CDTF">2020-09-24T18:36:28Z</dcterms:modified>
</cp:coreProperties>
</file>