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216535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tbl>
      <w:tblPr>
        <w:tblLayout w:type="fixed"/>
        <w:tblInd w:w="840" w:type="dxa"/>
        <w:tblCellMar>
          <w:top w:w="0" w:type="dxa"/>
          <w:left w:w="0" w:type="dxa"/>
          <w:bottom w:w="0" w:type="dxa"/>
          <w:right w:w="0" w:type="dxa"/>
        </w:tblCellMar>
      </w:tblPr>
      <w:tr>
        <w:trPr>
          <w:trHeight w:val="222"/>
        </w:trPr>
        <w:tc>
          <w:tcPr>
            <w:tcW w:w="3600" w:type="dxa"/>
            <w:vAlign w:val="bottom"/>
          </w:tcPr>
          <w:p>
            <w:pPr>
              <w:jc w:val="center"/>
              <w:ind w:right="70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001-39539</w:t>
            </w:r>
          </w:p>
        </w:tc>
        <w:tc>
          <w:tcPr>
            <w:tcW w:w="228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46-3218129</w:t>
            </w:r>
          </w:p>
        </w:tc>
      </w:tr>
      <w:tr>
        <w:trPr>
          <w:trHeight w:val="152"/>
        </w:trPr>
        <w:tc>
          <w:tcPr>
            <w:tcW w:w="3600" w:type="dxa"/>
            <w:vAlign w:val="bottom"/>
          </w:tcPr>
          <w:p>
            <w:pPr>
              <w:jc w:val="center"/>
              <w:ind w:right="72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800" w:type="dxa"/>
            <w:vAlign w:val="bottom"/>
          </w:tcPr>
          <w:p>
            <w:pPr>
              <w:ind w:left="800"/>
              <w:spacing w:after="0"/>
              <w:rPr>
                <w:sz w:val="20"/>
                <w:szCs w:val="20"/>
                <w:color w:val="auto"/>
              </w:rPr>
            </w:pPr>
            <w:r>
              <w:rPr>
                <w:rFonts w:ascii="Times New Roman" w:cs="Times New Roman" w:eastAsia="Times New Roman" w:hAnsi="Times New Roman"/>
                <w:sz w:val="13"/>
                <w:szCs w:val="13"/>
                <w:b w:val="1"/>
                <w:bCs w:val="1"/>
                <w:color w:val="auto"/>
              </w:rPr>
              <w:t>(Commission</w:t>
            </w: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89"/>
        </w:trPr>
        <w:tc>
          <w:tcPr>
            <w:tcW w:w="3600" w:type="dxa"/>
            <w:vAlign w:val="bottom"/>
          </w:tcPr>
          <w:p>
            <w:pPr>
              <w:jc w:val="center"/>
              <w:ind w:right="72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800" w:type="dxa"/>
            <w:vAlign w:val="bottom"/>
          </w:tcPr>
          <w:p>
            <w:pPr>
              <w:ind w:left="80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29"/>
        </w:trPr>
        <w:tc>
          <w:tcPr>
            <w:tcW w:w="3600" w:type="dxa"/>
            <w:vAlign w:val="bottom"/>
          </w:tcPr>
          <w:p>
            <w:pPr>
              <w:jc w:val="center"/>
              <w:ind w:right="701"/>
              <w:spacing w:after="0"/>
              <w:rPr>
                <w:sz w:val="20"/>
                <w:szCs w:val="20"/>
                <w:color w:val="auto"/>
              </w:rPr>
            </w:pPr>
            <w:r>
              <w:rPr>
                <w:rFonts w:ascii="Times New Roman" w:cs="Times New Roman" w:eastAsia="Times New Roman" w:hAnsi="Times New Roman"/>
                <w:sz w:val="18"/>
                <w:szCs w:val="18"/>
                <w:b w:val="1"/>
                <w:bCs w:val="1"/>
                <w:color w:val="auto"/>
              </w:rPr>
              <w:t>400 Alexander Park Drive, Suite 301</w:t>
            </w:r>
          </w:p>
        </w:tc>
        <w:tc>
          <w:tcPr>
            <w:tcW w:w="28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5"/>
        </w:trPr>
        <w:tc>
          <w:tcPr>
            <w:tcW w:w="3600" w:type="dxa"/>
            <w:vAlign w:val="bottom"/>
          </w:tcPr>
          <w:p>
            <w:pPr>
              <w:jc w:val="center"/>
              <w:ind w:right="701"/>
              <w:spacing w:after="0"/>
              <w:rPr>
                <w:sz w:val="20"/>
                <w:szCs w:val="20"/>
                <w:color w:val="auto"/>
              </w:rPr>
            </w:pPr>
            <w:r>
              <w:rPr>
                <w:rFonts w:ascii="Times New Roman" w:cs="Times New Roman" w:eastAsia="Times New Roman" w:hAnsi="Times New Roman"/>
                <w:sz w:val="18"/>
                <w:szCs w:val="18"/>
                <w:b w:val="1"/>
                <w:bCs w:val="1"/>
                <w:color w:val="auto"/>
                <w:w w:val="99"/>
              </w:rPr>
              <w:t>Princeton, NJ</w:t>
            </w:r>
          </w:p>
        </w:tc>
        <w:tc>
          <w:tcPr>
            <w:tcW w:w="2800" w:type="dxa"/>
            <w:vAlign w:val="bottom"/>
          </w:tcPr>
          <w:p>
            <w:pPr>
              <w:spacing w:after="0"/>
              <w:rPr>
                <w:sz w:val="20"/>
                <w:szCs w:val="20"/>
                <w:color w:val="auto"/>
              </w:rPr>
            </w:pPr>
          </w:p>
        </w:tc>
        <w:tc>
          <w:tcPr>
            <w:tcW w:w="22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08540</w:t>
            </w:r>
          </w:p>
        </w:tc>
      </w:tr>
      <w:tr>
        <w:trPr>
          <w:trHeight w:val="178"/>
        </w:trPr>
        <w:tc>
          <w:tcPr>
            <w:tcW w:w="3600" w:type="dxa"/>
            <w:vAlign w:val="bottom"/>
          </w:tcPr>
          <w:p>
            <w:pPr>
              <w:jc w:val="center"/>
              <w:ind w:right="7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800" w:type="dxa"/>
            <w:vAlign w:val="bottom"/>
          </w:tcPr>
          <w:p>
            <w:pPr>
              <w:spacing w:after="0"/>
              <w:rPr>
                <w:sz w:val="15"/>
                <w:szCs w:val="15"/>
                <w:color w:val="auto"/>
              </w:rPr>
            </w:pP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(609) 642-6670</w:t>
      </w:r>
    </w:p>
    <w:p>
      <w:pPr>
        <w:spacing w:after="0" w:line="17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187960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$0.00001 par value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PMVP</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On August 7, 2025, PMV Pharmaceuticals, Inc. issued a press release announcing its financial results for the second quarter ended June 30, 2025. The full text of the press release is attached as Exhibit 99.1 to this Current Report on Form 8-K and is incorporated herein by reference.</w:t>
      </w:r>
    </w:p>
    <w:p>
      <w:pPr>
        <w:spacing w:after="0" w:line="162"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this Form 8-K, including the attached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40" w:type="dxa"/>
            <w:vAlign w:val="bottom"/>
          </w:tcPr>
          <w:p>
            <w:pPr>
              <w:spacing w:after="0"/>
              <w:rPr>
                <w:sz w:val="13"/>
                <w:szCs w:val="13"/>
                <w:color w:val="auto"/>
              </w:rPr>
            </w:pPr>
          </w:p>
        </w:tc>
        <w:tc>
          <w:tcPr>
            <w:tcW w:w="10420" w:type="dxa"/>
            <w:vAlign w:val="bottom"/>
            <w:gridSpan w:val="2"/>
            <w:vMerge w:val="restart"/>
          </w:tcPr>
          <w:p>
            <w:pPr>
              <w:ind w:left="4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104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issued by PMV Pharmaceuticals, Inc., dated August 7, 2025.</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400" w:type="dxa"/>
            <w:vAlign w:val="bottom"/>
            <w:tcBorders>
              <w:right w:val="single" w:sz="8" w:color="0000EE"/>
            </w:tcBorders>
            <w:shd w:val="clear" w:color="auto" w:fill="0000FF"/>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195"/>
        </w:trPr>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25" w:lineRule="exact"/>
        <w:rPr>
          <w:sz w:val="20"/>
          <w:szCs w:val="20"/>
          <w:color w:val="auto"/>
        </w:rPr>
      </w:pPr>
    </w:p>
    <w:p>
      <w:pPr>
        <w:spacing w:after="0"/>
        <w:tabs>
          <w:tab w:leader="none" w:pos="5680" w:val="left"/>
          <w:tab w:leader="none" w:pos="7940" w:val="left"/>
        </w:tabs>
        <w:rPr>
          <w:sz w:val="20"/>
          <w:szCs w:val="20"/>
          <w:color w:val="auto"/>
        </w:rPr>
      </w:pPr>
      <w:r>
        <w:rPr>
          <w:rFonts w:ascii="Times New Roman" w:cs="Times New Roman" w:eastAsia="Times New Roman" w:hAnsi="Times New Roman"/>
          <w:sz w:val="18"/>
          <w:szCs w:val="18"/>
          <w:color w:val="auto"/>
        </w:rPr>
        <w:t>Date: August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Carulli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Michael Carulli</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PMV Pharmaceuticals Reports Second Quarter 2025 Financial Results and Corporate Highlights</w:t>
      </w:r>
    </w:p>
    <w:p>
      <w:pPr>
        <w:spacing w:after="0" w:line="245" w:lineRule="exact"/>
        <w:rPr>
          <w:sz w:val="20"/>
          <w:szCs w:val="20"/>
          <w:color w:val="auto"/>
        </w:rPr>
      </w:pPr>
    </w:p>
    <w:p>
      <w:pPr>
        <w:ind w:left="520" w:hanging="512"/>
        <w:spacing w:after="0" w:line="268" w:lineRule="auto"/>
        <w:tabs>
          <w:tab w:leader="none" w:pos="5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PMV will host an investor webinar on Wednesday, September 10, 2025 at 8:00 AM ET to review Phase 2 PYNNACLE clinical trial interim analysis data</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Interim analysis will include data for approximately 65 patients with at least 18 weeks of follow-up</w:t>
      </w:r>
    </w:p>
    <w:p>
      <w:pPr>
        <w:spacing w:after="0" w:line="210" w:lineRule="exact"/>
        <w:rPr>
          <w:rFonts w:ascii="Times New Roman" w:cs="Times New Roman" w:eastAsia="Times New Roman" w:hAnsi="Times New Roman"/>
          <w:sz w:val="18"/>
          <w:szCs w:val="18"/>
          <w:color w:val="auto"/>
        </w:rPr>
      </w:pPr>
    </w:p>
    <w:p>
      <w:pPr>
        <w:ind w:left="520" w:hanging="512"/>
        <w:spacing w:after="0" w:line="268" w:lineRule="auto"/>
        <w:tabs>
          <w:tab w:leader="none" w:pos="5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Cash, cash equivalents, and marketable securities of $148.3 million as of June 30, 2025, providing expected cash runway to end of 2026</w:t>
      </w:r>
    </w:p>
    <w:p>
      <w:pPr>
        <w:spacing w:after="0" w:line="2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PRINCETON, N.J., </w:t>
      </w:r>
      <w:r>
        <w:rPr>
          <w:rFonts w:ascii="Arial" w:cs="Arial" w:eastAsia="Arial" w:hAnsi="Arial"/>
          <w:sz w:val="18"/>
          <w:szCs w:val="18"/>
          <w:color w:val="auto"/>
        </w:rPr>
        <w:t>August 7, 2025 (GLOBE NEWSWIRE) - PMV Pharmaceuticals, Inc. (“PMV Pharma” or the “Company”; Nasdaq: PMVP),</w:t>
      </w:r>
      <w:r>
        <w:rPr>
          <w:rFonts w:ascii="Arial" w:cs="Arial" w:eastAsia="Arial" w:hAnsi="Arial"/>
          <w:sz w:val="18"/>
          <w:szCs w:val="18"/>
          <w:b w:val="1"/>
          <w:bCs w:val="1"/>
          <w:color w:val="auto"/>
        </w:rPr>
        <w:t xml:space="preserve"> </w:t>
      </w:r>
      <w:r>
        <w:rPr>
          <w:rFonts w:ascii="Arial" w:cs="Arial" w:eastAsia="Arial" w:hAnsi="Arial"/>
          <w:sz w:val="18"/>
          <w:szCs w:val="18"/>
          <w:color w:val="auto"/>
        </w:rPr>
        <w:t>a precision oncology company pioneering the discovery and development of small molecule, tumor-agnostic therapies targeting p53, today reported financial results for the second quarter ended June 30, 2025, and provided a corporate update.</w:t>
      </w:r>
    </w:p>
    <w:p>
      <w:pPr>
        <w:spacing w:after="0" w:line="2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PMV Pharma will host an investor webinar on Wednesday, September 10, 2025 at 8:00 AM ET to review interim analysis data from the Phase 2 PYNNACLE clinical trial. This interim analysis will include data for approximately 65 patients who have had at least 18 weeks of follow up, of which approximately 45% are in the ovarian cancer cohort.</w:t>
      </w:r>
    </w:p>
    <w:p>
      <w:pPr>
        <w:spacing w:after="0" w:line="155" w:lineRule="exact"/>
        <w:rPr>
          <w:sz w:val="20"/>
          <w:szCs w:val="20"/>
          <w:color w:val="auto"/>
        </w:rPr>
      </w:pPr>
    </w:p>
    <w:p>
      <w:pPr>
        <w:jc w:val="both"/>
        <w:ind w:right="240"/>
        <w:spacing w:after="0" w:line="253" w:lineRule="auto"/>
        <w:rPr>
          <w:sz w:val="20"/>
          <w:szCs w:val="20"/>
          <w:color w:val="auto"/>
        </w:rPr>
      </w:pPr>
      <w:r>
        <w:rPr>
          <w:rFonts w:ascii="Arial" w:cs="Arial" w:eastAsia="Arial" w:hAnsi="Arial"/>
          <w:sz w:val="18"/>
          <w:szCs w:val="18"/>
          <w:color w:val="auto"/>
        </w:rPr>
        <w:t>“Our team has continued to execute at an exceptionally high level as we advance the registrational Phase 2 PYNNACLE clinical trial,” said David Mack, Ph.D., President and Chief Executive Officer of PMV Pharma. “We look forward to providing data from the interim analysis on September 10.”</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2025 Financial Results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PMV Pharma ended the second quarter with $148.3 million in cash, cash equivalents, and marketable securities, compared to $165.8 million as of March 31, 2025. Net cash used in operations was $36.5 million for the six months ended June 30, 2025, compared to $17.8 million for the six months ended June 30, 2024.</w:t>
      </w:r>
    </w:p>
    <w:p>
      <w:pPr>
        <w:spacing w:after="0" w:line="61" w:lineRule="exact"/>
        <w:rPr>
          <w:sz w:val="20"/>
          <w:szCs w:val="20"/>
          <w:color w:val="auto"/>
        </w:rPr>
      </w:pPr>
    </w:p>
    <w:p>
      <w:pPr>
        <w:jc w:val="both"/>
        <w:ind w:left="520" w:hanging="512"/>
        <w:spacing w:after="0" w:line="252" w:lineRule="auto"/>
        <w:tabs>
          <w:tab w:leader="none" w:pos="5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Net loss for the quarter ended June 30, 2025, was $21.2 million compared to $1.2 million for the quarter ended June 30, 2024. The net loss increase was a result of the Company’s sale of its New Jersey accumulated net operating losses in the second quarter of 2024, with a corresponding $16.2 million income tax benefit.</w:t>
      </w:r>
    </w:p>
    <w:p>
      <w:pPr>
        <w:spacing w:after="0" w:line="62" w:lineRule="exact"/>
        <w:rPr>
          <w:rFonts w:ascii="Times New Roman" w:cs="Times New Roman" w:eastAsia="Times New Roman" w:hAnsi="Times New Roman"/>
          <w:sz w:val="18"/>
          <w:szCs w:val="18"/>
          <w:color w:val="auto"/>
        </w:rPr>
      </w:pPr>
    </w:p>
    <w:p>
      <w:pPr>
        <w:jc w:val="both"/>
        <w:ind w:left="520" w:hanging="512"/>
        <w:spacing w:after="0" w:line="252" w:lineRule="auto"/>
        <w:tabs>
          <w:tab w:leader="none" w:pos="5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Research and development (R&amp;D) expenses were $18.4 million for the quarter ended June 30, 2025, compared to $14.6 million for the quarter ended June 30, 2024. The increase in R&amp;D expenses was primarily due to increased contractual research organization costs for the advancement of the rezatapopt program.</w:t>
      </w:r>
    </w:p>
    <w:p>
      <w:pPr>
        <w:spacing w:after="0" w:line="62" w:lineRule="exact"/>
        <w:rPr>
          <w:rFonts w:ascii="Times New Roman" w:cs="Times New Roman" w:eastAsia="Times New Roman" w:hAnsi="Times New Roman"/>
          <w:sz w:val="18"/>
          <w:szCs w:val="18"/>
          <w:color w:val="auto"/>
        </w:rPr>
      </w:pPr>
    </w:p>
    <w:p>
      <w:pPr>
        <w:jc w:val="both"/>
        <w:ind w:left="520" w:hanging="512"/>
        <w:spacing w:after="0" w:line="252" w:lineRule="auto"/>
        <w:tabs>
          <w:tab w:leader="none" w:pos="5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General and administrative (G&amp;A) expenses were $4.5 million for the quarter ended June 30, 2025, compared to $5.5 million for the quarter ended June 30, 2024. The decrease in G&amp;A expenses was primarily due to reduced spend for stock-based compensation and facility and operational expenses.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Rezatapopt</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Rezatapopt (PC14586) is a first-in-class, small molecule, p53 reactivator designed to selectively bind to the pocket in the p53 Y220C mutant protein, restoring the wild-type tumor-suppressor function. The U.S. Food and Drug Administration granted Fast Track designation to rezatapopt for the treatment of patients with locally advanced or metastatic solid tumors with a p53 Y220C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the PYNNACLE Clinical Trial</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ongoing Phase 1/2 PYNNACLE clinical trial is evaluating rezatapopt in patients with advanced solid tumors harboring a TP53 Y220C mutation. The primary objective of the Phase 1 portion of the clinical trial was to determine the maximum tolerated dose and recommended Phase 2 dose (RP2D) of rezatapopt when administered orally to patients. Safety, tolerability, pharmacokinetics and effects on biomarkers were also assessed. The Phase 2 portion is a registrational, single arm, expansion basket clinical trial comprising five cohorts (ovarian, lung, breast, and endometrial cancers, and other solid tumors) with the primary objective of evaluating the efficacy of rezatapopt at the RP2D in patients with TP53 Y220C and KRAS wild-type advanced solid tumors. For more information about the Phase 1/2 PYNNACLE clinical trial, refer to www.clinicaltrials.gov (NCT trial identifier NCT04585750).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PMV Pharma</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PMV Pharma is a precision oncology company pioneering the discovery and development of small molecule, tumor-agnostic therapies targeting p53. TP53 mutations are found in approximately half of all cancers. Our co-founder, Dr. Arnold Levine, established the field of p53 biology when he discovered the p53 protein in 1979. Bringing together leaders in the field to utilize over four decades of p53 biology, PMV Pharma combines unique biological understanding with a pharmaceutical development focus. PMV Pharma is headquartered in Princeton, New Jersey. For more information, please visit www.pmvpharma.com.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Statements contained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the Company’s future plans or expectations for rezatapopt, including our ability to obtain approval as a treatment option on a tumor-agnostic basis and as a monotherapy, expectations regarding timing, number of patients and treatment durations for our interim data readouts, expectations regarding timing and success of the Phase 2 portion of the current clinical trial for rezatapopt, and the timing and expectations with respect to our projected cash runway. Any forward-looking statements in this statement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the success, cost, and timing of the Company’s product candidate development activities and planned clinical trials, the Company’s ability to execute on its strategy and operate as a clinical stage company, the potential for clinical trials of rezatapopt or any future clinical trials of other product candidates to differ from preclinical, preliminary or expected results, the Company’s ability to fund operations, and the impact that a global pandemic, other public health emergencies or geopolitical tensions or conflicts may have on the Company’s clinical trials, supply chain, and operations, as well as those risks and uncertainties set forth in the section entitled “Risk Factors” in the Company’s Annual Report on Form 10-K, filed with the Securities and Exchange Commission (the “SEC”) on March 3, 2025, the Company’s Quarterly Report on Form 10-Q for the three months ended March 31, 2025, filed with the SEC on May 9, 2025, and the Company’s Quarterly Report on Form 10-Q for the three months ended June 30, 2025, filed with the SEC on August 7, 2025, and its other filings filed with the SEC. All forward-looking statements contained in this press release speak only as of the date on which they were made. The Company undertakes no obligation to update such statements to reflect events that occur or circumstances that exist after the date on which they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1785620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7440" w:type="dxa"/>
            <w:vAlign w:val="bottom"/>
          </w:tcPr>
          <w:p>
            <w:pPr>
              <w:spacing w:after="0"/>
              <w:rPr>
                <w:sz w:val="16"/>
                <w:szCs w:val="16"/>
                <w:color w:val="auto"/>
              </w:rPr>
            </w:pP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2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18"/>
        </w:trPr>
        <w:tc>
          <w:tcPr>
            <w:tcW w:w="7440" w:type="dxa"/>
            <w:vAlign w:val="bottom"/>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r>
        <w:trPr>
          <w:trHeight w:val="244"/>
        </w:trPr>
        <w:tc>
          <w:tcPr>
            <w:tcW w:w="7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r>
      <w:tr>
        <w:trPr>
          <w:trHeight w:val="24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tcBorders>
              <w:bottom w:val="single" w:sz="8" w:color="CFF0FC"/>
            </w:tcBorders>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44,127</w:t>
            </w:r>
          </w:p>
        </w:tc>
        <w:tc>
          <w:tcPr>
            <w:tcW w:w="6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40,876</w:t>
            </w:r>
          </w:p>
        </w:tc>
      </w:tr>
      <w:tr>
        <w:trPr>
          <w:trHeight w:val="24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1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98,147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128,578</w:t>
            </w:r>
          </w:p>
        </w:tc>
      </w:tr>
      <w:tr>
        <w:trPr>
          <w:trHeight w:val="27"/>
        </w:trPr>
        <w:tc>
          <w:tcPr>
            <w:tcW w:w="7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6,204</w:t>
            </w:r>
          </w:p>
        </w:tc>
      </w:tr>
      <w:tr>
        <w:trPr>
          <w:trHeight w:val="24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145,311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175,658</w:t>
            </w:r>
          </w:p>
        </w:tc>
      </w:tr>
      <w:tr>
        <w:trPr>
          <w:trHeight w:val="27"/>
        </w:trPr>
        <w:tc>
          <w:tcPr>
            <w:tcW w:w="7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3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4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1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13,843</w:t>
            </w:r>
          </w:p>
        </w:tc>
      </w:tr>
      <w:tr>
        <w:trPr>
          <w:trHeight w:val="27"/>
        </w:trPr>
        <w:tc>
          <w:tcPr>
            <w:tcW w:w="7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3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w:t>
            </w:r>
          </w:p>
        </w:tc>
      </w:tr>
      <w:tr>
        <w:trPr>
          <w:trHeight w:val="24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7"/>
        </w:trPr>
        <w:tc>
          <w:tcPr>
            <w:tcW w:w="7440" w:type="dxa"/>
            <w:vAlign w:val="bottom"/>
            <w:tcBorders>
              <w:bottom w:val="single" w:sz="8" w:color="CFF0FC"/>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340" w:type="dxa"/>
            <w:vAlign w:val="bottom"/>
            <w:tcBorders>
              <w:bottom w:val="single" w:sz="8" w:color="auto"/>
            </w:tcBorders>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152,855</w:t>
            </w:r>
          </w:p>
        </w:tc>
        <w:tc>
          <w:tcPr>
            <w:tcW w:w="10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191,288</w:t>
            </w:r>
          </w:p>
        </w:tc>
      </w:tr>
      <w:tr>
        <w:trPr>
          <w:trHeight w:val="243"/>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3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r>
      <w:tr>
        <w:trPr>
          <w:trHeight w:val="24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34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w:t>
            </w:r>
          </w:p>
        </w:tc>
      </w:tr>
      <w:tr>
        <w:trPr>
          <w:trHeight w:val="27"/>
        </w:trPr>
        <w:tc>
          <w:tcPr>
            <w:tcW w:w="7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3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8,632</w:t>
            </w:r>
          </w:p>
        </w:tc>
        <w:tc>
          <w:tcPr>
            <w:tcW w:w="1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7,439</w:t>
            </w:r>
          </w:p>
        </w:tc>
      </w:tr>
      <w:tr>
        <w:trPr>
          <w:trHeight w:val="24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7"/>
        </w:trPr>
        <w:tc>
          <w:tcPr>
            <w:tcW w:w="7440" w:type="dxa"/>
            <w:vAlign w:val="bottom"/>
            <w:tcBorders>
              <w:bottom w:val="single" w:sz="8" w:color="CFF0FC"/>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34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10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14,370</w:t>
            </w:r>
          </w:p>
        </w:tc>
      </w:tr>
      <w:tr>
        <w:trPr>
          <w:trHeight w:val="24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r>
      <w:tr>
        <w:trPr>
          <w:trHeight w:val="27"/>
        </w:trPr>
        <w:tc>
          <w:tcPr>
            <w:tcW w:w="7440" w:type="dxa"/>
            <w:vAlign w:val="bottom"/>
            <w:tcBorders>
              <w:bottom w:val="single" w:sz="8" w:color="CFF0FC"/>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2"/>
        </w:trPr>
        <w:tc>
          <w:tcPr>
            <w:tcW w:w="7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3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12,250</w:t>
            </w:r>
          </w:p>
        </w:tc>
        <w:tc>
          <w:tcPr>
            <w:tcW w:w="10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15,208</w:t>
            </w:r>
          </w:p>
        </w:tc>
      </w:tr>
      <w:tr>
        <w:trPr>
          <w:trHeight w:val="241"/>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547,942</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544,653</w:t>
            </w: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(407,358)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(368,712)</w:t>
            </w:r>
          </w:p>
        </w:tc>
      </w:tr>
      <w:tr>
        <w:trPr>
          <w:trHeight w:val="229"/>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0"/>
        </w:trPr>
        <w:tc>
          <w:tcPr>
            <w:tcW w:w="7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140,605</w:t>
            </w:r>
          </w:p>
        </w:tc>
        <w:tc>
          <w:tcPr>
            <w:tcW w:w="10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176,080</w:t>
            </w:r>
          </w:p>
        </w:tc>
      </w:tr>
      <w:tr>
        <w:trPr>
          <w:trHeight w:val="270"/>
        </w:trPr>
        <w:tc>
          <w:tcPr>
            <w:tcW w:w="7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340" w:type="dxa"/>
            <w:vAlign w:val="bottom"/>
            <w:tcBorders>
              <w:bottom w:val="single" w:sz="8" w:color="CFF0FC"/>
            </w:tcBorders>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152,855</w:t>
            </w:r>
          </w:p>
        </w:tc>
        <w:tc>
          <w:tcPr>
            <w:tcW w:w="6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191,288</w:t>
            </w:r>
          </w:p>
        </w:tc>
      </w:tr>
      <w:tr>
        <w:trPr>
          <w:trHeight w:val="27"/>
        </w:trPr>
        <w:tc>
          <w:tcPr>
            <w:tcW w:w="7440" w:type="dxa"/>
            <w:vAlign w:val="bottom"/>
            <w:shd w:val="clear" w:color="auto" w:fill="CFF0FC"/>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2387600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-3376930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6044565</wp:posOffset>
            </wp:positionH>
            <wp:positionV relativeFrom="paragraph">
              <wp:posOffset>-2523490</wp:posOffset>
            </wp:positionV>
            <wp:extent cx="93980"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-1482090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6044565</wp:posOffset>
            </wp:positionH>
            <wp:positionV relativeFrom="paragraph">
              <wp:posOffset>-1151890</wp:posOffset>
            </wp:positionV>
            <wp:extent cx="9398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6044565</wp:posOffset>
            </wp:positionH>
            <wp:positionV relativeFrom="paragraph">
              <wp:posOffset>-226695</wp:posOffset>
            </wp:positionV>
            <wp:extent cx="93980"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3980" cy="24003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18"/>
        </w:trPr>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8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2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18,400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14,628</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35,841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27,813</w:t>
            </w:r>
          </w:p>
        </w:tc>
      </w:tr>
      <w:tr>
        <w:trPr>
          <w:trHeight w:val="216"/>
        </w:trPr>
        <w:tc>
          <w:tcPr>
            <w:tcW w:w="5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272"/>
              <w:spacing w:after="0"/>
              <w:rPr>
                <w:sz w:val="20"/>
                <w:szCs w:val="20"/>
                <w:color w:val="auto"/>
              </w:rPr>
            </w:pPr>
            <w:r>
              <w:rPr>
                <w:rFonts w:ascii="Times New Roman" w:cs="Times New Roman" w:eastAsia="Times New Roman" w:hAnsi="Times New Roman"/>
                <w:sz w:val="18"/>
                <w:szCs w:val="18"/>
                <w:color w:val="auto"/>
              </w:rPr>
              <w:t>4,479</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291"/>
              <w:spacing w:after="0"/>
              <w:rPr>
                <w:sz w:val="20"/>
                <w:szCs w:val="20"/>
                <w:color w:val="auto"/>
              </w:rPr>
            </w:pPr>
            <w:r>
              <w:rPr>
                <w:rFonts w:ascii="Times New Roman" w:cs="Times New Roman" w:eastAsia="Times New Roman" w:hAnsi="Times New Roman"/>
                <w:sz w:val="18"/>
                <w:szCs w:val="18"/>
                <w:color w:val="auto"/>
              </w:rPr>
              <w:t>5,542</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252"/>
              <w:spacing w:after="0"/>
              <w:rPr>
                <w:sz w:val="20"/>
                <w:szCs w:val="20"/>
                <w:color w:val="auto"/>
              </w:rPr>
            </w:pPr>
            <w:r>
              <w:rPr>
                <w:rFonts w:ascii="Times New Roman" w:cs="Times New Roman" w:eastAsia="Times New Roman" w:hAnsi="Times New Roman"/>
                <w:sz w:val="18"/>
                <w:szCs w:val="18"/>
                <w:color w:val="auto"/>
              </w:rPr>
              <w:t>8,600</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251"/>
              <w:spacing w:after="0"/>
              <w:rPr>
                <w:sz w:val="20"/>
                <w:szCs w:val="20"/>
                <w:color w:val="auto"/>
              </w:rPr>
            </w:pPr>
            <w:r>
              <w:rPr>
                <w:rFonts w:ascii="Times New Roman" w:cs="Times New Roman" w:eastAsia="Times New Roman" w:hAnsi="Times New Roman"/>
                <w:sz w:val="18"/>
                <w:szCs w:val="18"/>
                <w:color w:val="auto"/>
              </w:rPr>
              <w:t>10,578</w:t>
            </w: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22,879</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20,170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44,441</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38,391</w:t>
            </w:r>
          </w:p>
        </w:tc>
      </w:tr>
      <w:tr>
        <w:trPr>
          <w:trHeight w:val="22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292"/>
              <w:spacing w:after="0"/>
              <w:rPr>
                <w:sz w:val="20"/>
                <w:szCs w:val="20"/>
                <w:color w:val="auto"/>
              </w:rPr>
            </w:pPr>
            <w:r>
              <w:rPr>
                <w:rFonts w:ascii="Times New Roman" w:cs="Times New Roman" w:eastAsia="Times New Roman" w:hAnsi="Times New Roman"/>
                <w:sz w:val="18"/>
                <w:szCs w:val="18"/>
                <w:color w:val="auto"/>
              </w:rPr>
              <w:t>(22,879)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8"/>
                <w:szCs w:val="18"/>
                <w:color w:val="auto"/>
              </w:rPr>
              <w:t>(20,170)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8"/>
                <w:szCs w:val="18"/>
                <w:color w:val="auto"/>
              </w:rPr>
              <w:t>(44,441)</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211"/>
              <w:spacing w:after="0"/>
              <w:rPr>
                <w:sz w:val="20"/>
                <w:szCs w:val="20"/>
                <w:color w:val="auto"/>
              </w:rPr>
            </w:pPr>
            <w:r>
              <w:rPr>
                <w:rFonts w:ascii="Times New Roman" w:cs="Times New Roman" w:eastAsia="Times New Roman" w:hAnsi="Times New Roman"/>
                <w:sz w:val="18"/>
                <w:szCs w:val="18"/>
                <w:color w:val="auto"/>
              </w:rPr>
              <w:t>(38,391)</w:t>
            </w: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8"/>
                <w:szCs w:val="18"/>
                <w:color w:val="auto"/>
              </w:rPr>
              <w:t>1,690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251"/>
              <w:spacing w:after="0"/>
              <w:rPr>
                <w:sz w:val="20"/>
                <w:szCs w:val="20"/>
                <w:color w:val="auto"/>
              </w:rPr>
            </w:pPr>
            <w:r>
              <w:rPr>
                <w:rFonts w:ascii="Times New Roman" w:cs="Times New Roman" w:eastAsia="Times New Roman" w:hAnsi="Times New Roman"/>
                <w:sz w:val="18"/>
                <w:szCs w:val="18"/>
                <w:color w:val="auto"/>
              </w:rPr>
              <w:t>2,801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8"/>
                <w:szCs w:val="18"/>
                <w:color w:val="auto"/>
              </w:rPr>
              <w:t>3,625</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251"/>
              <w:spacing w:after="0"/>
              <w:rPr>
                <w:sz w:val="20"/>
                <w:szCs w:val="20"/>
                <w:color w:val="auto"/>
              </w:rPr>
            </w:pPr>
            <w:r>
              <w:rPr>
                <w:rFonts w:ascii="Times New Roman" w:cs="Times New Roman" w:eastAsia="Times New Roman" w:hAnsi="Times New Roman"/>
                <w:sz w:val="18"/>
                <w:szCs w:val="18"/>
                <w:color w:val="auto"/>
              </w:rPr>
              <w:t>5,753</w:t>
            </w:r>
          </w:p>
        </w:tc>
      </w:tr>
      <w:tr>
        <w:trPr>
          <w:trHeight w:val="230"/>
        </w:trPr>
        <w:tc>
          <w:tcPr>
            <w:tcW w:w="5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(18)</w:t>
            </w:r>
          </w:p>
        </w:tc>
      </w:tr>
      <w:tr>
        <w:trPr>
          <w:trHeight w:val="209"/>
        </w:trPr>
        <w:tc>
          <w:tcPr>
            <w:tcW w:w="5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272"/>
              <w:spacing w:after="0"/>
              <w:rPr>
                <w:sz w:val="20"/>
                <w:szCs w:val="20"/>
                <w:color w:val="auto"/>
              </w:rPr>
            </w:pPr>
            <w:r>
              <w:rPr>
                <w:rFonts w:ascii="Times New Roman" w:cs="Times New Roman" w:eastAsia="Times New Roman" w:hAnsi="Times New Roman"/>
                <w:sz w:val="18"/>
                <w:szCs w:val="18"/>
                <w:color w:val="auto"/>
              </w:rPr>
              <w:t>1,674</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251"/>
              <w:spacing w:after="0"/>
              <w:rPr>
                <w:sz w:val="20"/>
                <w:szCs w:val="20"/>
                <w:color w:val="auto"/>
              </w:rPr>
            </w:pPr>
            <w:r>
              <w:rPr>
                <w:rFonts w:ascii="Times New Roman" w:cs="Times New Roman" w:eastAsia="Times New Roman" w:hAnsi="Times New Roman"/>
                <w:sz w:val="18"/>
                <w:szCs w:val="18"/>
                <w:color w:val="auto"/>
              </w:rPr>
              <w:t>2,784</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252"/>
              <w:spacing w:after="0"/>
              <w:rPr>
                <w:sz w:val="20"/>
                <w:szCs w:val="20"/>
                <w:color w:val="auto"/>
              </w:rPr>
            </w:pPr>
            <w:r>
              <w:rPr>
                <w:rFonts w:ascii="Times New Roman" w:cs="Times New Roman" w:eastAsia="Times New Roman" w:hAnsi="Times New Roman"/>
                <w:sz w:val="18"/>
                <w:szCs w:val="18"/>
                <w:color w:val="auto"/>
              </w:rPr>
              <w:t>3,604</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251"/>
              <w:spacing w:after="0"/>
              <w:rPr>
                <w:sz w:val="20"/>
                <w:szCs w:val="20"/>
                <w:color w:val="auto"/>
              </w:rPr>
            </w:pPr>
            <w:r>
              <w:rPr>
                <w:rFonts w:ascii="Times New Roman" w:cs="Times New Roman" w:eastAsia="Times New Roman" w:hAnsi="Times New Roman"/>
                <w:sz w:val="18"/>
                <w:szCs w:val="18"/>
                <w:color w:val="auto"/>
              </w:rPr>
              <w:t>5,735</w:t>
            </w: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(benefit) for income taxes</w:t>
            </w:r>
          </w:p>
        </w:tc>
        <w:tc>
          <w:tcPr>
            <w:tcW w:w="160" w:type="dxa"/>
            <w:vAlign w:val="bottom"/>
          </w:tcPr>
          <w:p>
            <w:pPr>
              <w:spacing w:after="0"/>
              <w:rPr>
                <w:sz w:val="19"/>
                <w:szCs w:val="19"/>
                <w:color w:val="auto"/>
              </w:rPr>
            </w:pP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(21,205)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(17,386)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(40,837)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(32,656)</w:t>
            </w:r>
          </w:p>
        </w:tc>
      </w:tr>
      <w:tr>
        <w:trPr>
          <w:trHeight w:val="22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1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8"/>
                <w:szCs w:val="18"/>
                <w:color w:val="auto"/>
              </w:rPr>
              <w:t>(16,173)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8"/>
                <w:szCs w:val="18"/>
                <w:color w:val="auto"/>
              </w:rPr>
              <w:t>(2,191)</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211"/>
              <w:spacing w:after="0"/>
              <w:rPr>
                <w:sz w:val="20"/>
                <w:szCs w:val="20"/>
                <w:color w:val="auto"/>
              </w:rPr>
            </w:pPr>
            <w:r>
              <w:rPr>
                <w:rFonts w:ascii="Times New Roman" w:cs="Times New Roman" w:eastAsia="Times New Roman" w:hAnsi="Times New Roman"/>
                <w:sz w:val="18"/>
                <w:szCs w:val="18"/>
                <w:color w:val="auto"/>
              </w:rPr>
              <w:t>(16,173)</w:t>
            </w: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9"/>
                <w:szCs w:val="19"/>
                <w:color w:val="auto"/>
              </w:rPr>
            </w:pP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(21,210)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(38,646)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(16,483)</w:t>
            </w:r>
          </w:p>
        </w:tc>
      </w:tr>
      <w:tr>
        <w:trPr>
          <w:trHeight w:val="22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(loss) on available for sale investments, net of tax</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292"/>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1"/>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211"/>
              <w:spacing w:after="0"/>
              <w:rPr>
                <w:sz w:val="20"/>
                <w:szCs w:val="20"/>
                <w:color w:val="auto"/>
              </w:rPr>
            </w:pPr>
            <w:r>
              <w:rPr>
                <w:rFonts w:ascii="Times New Roman" w:cs="Times New Roman" w:eastAsia="Times New Roman" w:hAnsi="Times New Roman"/>
                <w:sz w:val="18"/>
                <w:szCs w:val="18"/>
                <w:color w:val="auto"/>
              </w:rPr>
              <w:t>(380)</w:t>
            </w: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(loss) gain</w:t>
            </w:r>
          </w:p>
        </w:tc>
        <w:tc>
          <w:tcPr>
            <w:tcW w:w="160" w:type="dxa"/>
            <w:vAlign w:val="bottom"/>
          </w:tcPr>
          <w:p>
            <w:pPr>
              <w:spacing w:after="0"/>
              <w:rPr>
                <w:sz w:val="19"/>
                <w:szCs w:val="19"/>
                <w:color w:val="auto"/>
              </w:rPr>
            </w:pP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292"/>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1"/>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211"/>
              <w:spacing w:after="0"/>
              <w:rPr>
                <w:sz w:val="20"/>
                <w:szCs w:val="20"/>
                <w:color w:val="auto"/>
              </w:rPr>
            </w:pPr>
            <w:r>
              <w:rPr>
                <w:rFonts w:ascii="Times New Roman" w:cs="Times New Roman" w:eastAsia="Times New Roman" w:hAnsi="Times New Roman"/>
                <w:sz w:val="18"/>
                <w:szCs w:val="18"/>
                <w:color w:val="auto"/>
              </w:rPr>
              <w:t>(408)</w:t>
            </w:r>
          </w:p>
        </w:tc>
      </w:tr>
      <w:tr>
        <w:trPr>
          <w:trHeight w:val="23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(21,273)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(1,269)</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(38,763)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(16,891)</w:t>
            </w:r>
          </w:p>
        </w:tc>
      </w:tr>
      <w:tr>
        <w:trPr>
          <w:trHeight w:val="254"/>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32"/>
              <w:spacing w:after="0"/>
              <w:rPr>
                <w:sz w:val="20"/>
                <w:szCs w:val="20"/>
                <w:color w:val="auto"/>
              </w:rPr>
            </w:pPr>
            <w:r>
              <w:rPr>
                <w:rFonts w:ascii="Times New Roman" w:cs="Times New Roman" w:eastAsia="Times New Roman" w:hAnsi="Times New Roman"/>
                <w:sz w:val="18"/>
                <w:szCs w:val="18"/>
                <w:color w:val="auto"/>
              </w:rPr>
              <w:t>(0.41)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8"/>
                <w:szCs w:val="18"/>
                <w:color w:val="auto"/>
              </w:rPr>
              <w:t>(0.02)</w:t>
            </w:r>
          </w:p>
        </w:tc>
        <w:tc>
          <w:tcPr>
            <w:tcW w:w="3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8"/>
                <w:szCs w:val="18"/>
                <w:color w:val="auto"/>
              </w:rPr>
              <w:t>(0.74)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211"/>
              <w:spacing w:after="0"/>
              <w:rPr>
                <w:sz w:val="20"/>
                <w:szCs w:val="20"/>
                <w:color w:val="auto"/>
              </w:rPr>
            </w:pPr>
            <w:r>
              <w:rPr>
                <w:rFonts w:ascii="Times New Roman" w:cs="Times New Roman" w:eastAsia="Times New Roman" w:hAnsi="Times New Roman"/>
                <w:sz w:val="18"/>
                <w:szCs w:val="18"/>
                <w:color w:val="auto"/>
              </w:rPr>
              <w:t>(0.32)</w:t>
            </w:r>
          </w:p>
        </w:tc>
      </w:tr>
      <w:tr>
        <w:trPr>
          <w:trHeight w:val="23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52,010,827</w:t>
            </w:r>
          </w:p>
        </w:tc>
        <w:tc>
          <w:tcPr>
            <w:tcW w:w="120" w:type="dxa"/>
            <w:vAlign w:val="bottom"/>
          </w:tcPr>
          <w:p>
            <w:pPr>
              <w:spacing w:after="0"/>
              <w:rPr>
                <w:sz w:val="20"/>
                <w:szCs w:val="20"/>
                <w:color w:val="auto"/>
              </w:rPr>
            </w:pPr>
          </w:p>
        </w:tc>
        <w:tc>
          <w:tcPr>
            <w:tcW w:w="1280" w:type="dxa"/>
            <w:vAlign w:val="bottom"/>
            <w:tcBorders>
              <w:top w:val="single" w:sz="8" w:color="auto"/>
              <w:bottom w:val="single" w:sz="8" w:color="auto"/>
            </w:tcBorders>
            <w:gridSpan w:val="2"/>
          </w:tcPr>
          <w:p>
            <w:pPr>
              <w:jc w:val="right"/>
              <w:ind w:right="291"/>
              <w:spacing w:after="0"/>
              <w:rPr>
                <w:sz w:val="20"/>
                <w:szCs w:val="20"/>
                <w:color w:val="auto"/>
              </w:rPr>
            </w:pPr>
            <w:r>
              <w:rPr>
                <w:rFonts w:ascii="Times New Roman" w:cs="Times New Roman" w:eastAsia="Times New Roman" w:hAnsi="Times New Roman"/>
                <w:sz w:val="18"/>
                <w:szCs w:val="18"/>
                <w:color w:val="auto"/>
              </w:rPr>
              <w:t>51,478,751</w:t>
            </w:r>
          </w:p>
        </w:tc>
        <w:tc>
          <w:tcPr>
            <w:tcW w:w="100" w:type="dxa"/>
            <w:vAlign w:val="bottom"/>
          </w:tcPr>
          <w:p>
            <w:pPr>
              <w:spacing w:after="0"/>
              <w:rPr>
                <w:sz w:val="20"/>
                <w:szCs w:val="20"/>
                <w:color w:val="auto"/>
              </w:rPr>
            </w:pPr>
          </w:p>
        </w:tc>
        <w:tc>
          <w:tcPr>
            <w:tcW w:w="124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51,981,607</w:t>
            </w:r>
          </w:p>
        </w:tc>
        <w:tc>
          <w:tcPr>
            <w:tcW w:w="140" w:type="dxa"/>
            <w:vAlign w:val="bottom"/>
          </w:tcPr>
          <w:p>
            <w:pPr>
              <w:spacing w:after="0"/>
              <w:rPr>
                <w:sz w:val="20"/>
                <w:szCs w:val="20"/>
                <w:color w:val="auto"/>
              </w:rPr>
            </w:pPr>
          </w:p>
        </w:tc>
        <w:tc>
          <w:tcPr>
            <w:tcW w:w="1140" w:type="dxa"/>
            <w:vAlign w:val="bottom"/>
            <w:tcBorders>
              <w:top w:val="single" w:sz="8" w:color="auto"/>
              <w:bottom w:val="single" w:sz="8" w:color="auto"/>
            </w:tcBorders>
            <w:gridSpan w:val="2"/>
          </w:tcPr>
          <w:p>
            <w:pPr>
              <w:jc w:val="right"/>
              <w:ind w:right="251"/>
              <w:spacing w:after="0"/>
              <w:rPr>
                <w:sz w:val="20"/>
                <w:szCs w:val="20"/>
                <w:color w:val="auto"/>
              </w:rPr>
            </w:pPr>
            <w:r>
              <w:rPr>
                <w:rFonts w:ascii="Times New Roman" w:cs="Times New Roman" w:eastAsia="Times New Roman" w:hAnsi="Times New Roman"/>
                <w:sz w:val="18"/>
                <w:szCs w:val="18"/>
                <w:color w:val="auto"/>
                <w:w w:val="96"/>
              </w:rPr>
              <w:t>51,462,307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-2253615</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-2253615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-2253615</wp:posOffset>
            </wp:positionV>
            <wp:extent cx="857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4570095</wp:posOffset>
            </wp:positionH>
            <wp:positionV relativeFrom="paragraph">
              <wp:posOffset>-1529080</wp:posOffset>
            </wp:positionV>
            <wp:extent cx="10287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5461635</wp:posOffset>
            </wp:positionH>
            <wp:positionV relativeFrom="paragraph">
              <wp:posOffset>-1529080</wp:posOffset>
            </wp:positionV>
            <wp:extent cx="93980"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6309995</wp:posOffset>
            </wp:positionH>
            <wp:positionV relativeFrom="paragraph">
              <wp:posOffset>-1529080</wp:posOffset>
            </wp:positionV>
            <wp:extent cx="111125"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4570095</wp:posOffset>
            </wp:positionH>
            <wp:positionV relativeFrom="paragraph">
              <wp:posOffset>-191770</wp:posOffset>
            </wp:positionV>
            <wp:extent cx="102870" cy="2051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870" cy="205105"/>
                    </a:xfrm>
                    <a:prstGeom prst="rect">
                      <a:avLst/>
                    </a:prstGeom>
                    <a:noFill/>
                  </pic:spPr>
                </pic:pic>
              </a:graphicData>
            </a:graphic>
          </wp:anchor>
        </w:drawing>
        <w:drawing>
          <wp:anchor simplePos="0" relativeHeight="251657728" behindDoc="1" locked="0" layoutInCell="0" allowOverlap="1">
            <wp:simplePos x="0" y="0"/>
            <wp:positionH relativeFrom="column">
              <wp:posOffset>5461635</wp:posOffset>
            </wp:positionH>
            <wp:positionV relativeFrom="paragraph">
              <wp:posOffset>-191770</wp:posOffset>
            </wp:positionV>
            <wp:extent cx="93980" cy="2051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 cy="205105"/>
                    </a:xfrm>
                    <a:prstGeom prst="rect">
                      <a:avLst/>
                    </a:prstGeom>
                    <a:noFill/>
                  </pic:spPr>
                </pic:pic>
              </a:graphicData>
            </a:graphic>
          </wp:anchor>
        </w:drawing>
        <w:drawing>
          <wp:anchor simplePos="0" relativeHeight="251657728" behindDoc="1" locked="0" layoutInCell="0" allowOverlap="1">
            <wp:simplePos x="0" y="0"/>
            <wp:positionH relativeFrom="column">
              <wp:posOffset>6309995</wp:posOffset>
            </wp:positionH>
            <wp:positionV relativeFrom="paragraph">
              <wp:posOffset>-191770</wp:posOffset>
            </wp:positionV>
            <wp:extent cx="111125" cy="2051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1125" cy="20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Investors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 Smith</w:t>
      </w:r>
    </w:p>
    <w:p>
      <w:pPr>
        <w:ind w:right="4980"/>
        <w:spacing w:after="0" w:line="250" w:lineRule="auto"/>
        <w:rPr>
          <w:sz w:val="20"/>
          <w:szCs w:val="20"/>
          <w:color w:val="auto"/>
        </w:rPr>
      </w:pPr>
      <w:r>
        <w:rPr>
          <w:rFonts w:ascii="Arial" w:cs="Arial" w:eastAsia="Arial" w:hAnsi="Arial"/>
          <w:sz w:val="18"/>
          <w:szCs w:val="18"/>
          <w:color w:val="auto"/>
        </w:rPr>
        <w:t>Senior Vice President, Head of Corporate Development and Investor Relations investors@pmvpharma.com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Kathy Vincent</w:t>
      </w:r>
    </w:p>
    <w:p>
      <w:pPr>
        <w:spacing w:after="0" w:line="234" w:lineRule="auto"/>
        <w:rPr>
          <w:sz w:val="20"/>
          <w:szCs w:val="20"/>
          <w:color w:val="auto"/>
        </w:rPr>
      </w:pPr>
      <w:r>
        <w:rPr>
          <w:rFonts w:ascii="Arial" w:cs="Arial" w:eastAsia="Arial" w:hAnsi="Arial"/>
          <w:sz w:val="18"/>
          <w:szCs w:val="18"/>
          <w:color w:val="auto"/>
        </w:rPr>
        <w:t>Greig Communications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kathy@greigcommunications.com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1142365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2025-08-07T07:08:25Z</dcterms:created>
  <dcterms:modified xsi:type="dcterms:W3CDTF">2025-08-07T07:08:25Z</dcterms:modified>
</cp:coreProperties>
</file>