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880" w:right="1620" w:hanging="3859"/>
        <w:spacing w:after="0" w:line="344"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1"/>
        </w:trPr>
        <w:tc>
          <w:tcPr>
            <w:tcW w:w="432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3060" w:type="dxa"/>
            <w:vAlign w:val="bottom"/>
          </w:tcPr>
          <w:p>
            <w:pPr>
              <w:spacing w:after="0"/>
              <w:rPr>
                <w:sz w:val="24"/>
                <w:szCs w:val="24"/>
                <w:color w:val="auto"/>
              </w:rPr>
            </w:pPr>
          </w:p>
        </w:tc>
      </w:tr>
      <w:tr>
        <w:trPr>
          <w:trHeight w:val="238"/>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3"/>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5"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August 7, 2024, the registrant had 51,519,751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2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tumor-agnostic indication;</w:t>
      </w:r>
    </w:p>
    <w:p>
      <w:pPr>
        <w:spacing w:after="0" w:line="6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7" w:lineRule="exact"/>
        <w:rPr>
          <w:rFonts w:ascii="Times New Roman" w:cs="Times New Roman" w:eastAsia="Times New Roman" w:hAnsi="Times New Roman"/>
          <w:sz w:val="18"/>
          <w:szCs w:val="18"/>
          <w:color w:val="auto"/>
        </w:rPr>
      </w:pPr>
    </w:p>
    <w:p>
      <w:pPr>
        <w:ind w:left="900" w:right="8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assumptions, projections and expectations regarding future costs savings and expenses associated with the announced restructuring plan and reduction in force; and</w:t>
      </w:r>
    </w:p>
    <w:p>
      <w:pPr>
        <w:spacing w:after="0" w:line="53" w:lineRule="exact"/>
        <w:rPr>
          <w:rFonts w:ascii="Times New Roman" w:cs="Times New Roman" w:eastAsia="Times New Roman" w:hAnsi="Times New Roman"/>
          <w:sz w:val="18"/>
          <w:szCs w:val="18"/>
          <w:color w:val="auto"/>
        </w:rPr>
      </w:pPr>
    </w:p>
    <w:p>
      <w:pPr>
        <w:jc w:val="both"/>
        <w:ind w:left="900" w:right="18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macroeconomic and geopolitical environment, including inflation, rising interest rates, increased volatility in the debt and equity markets, instability in the global banking system, global pandemics and other public health emergencies, and geopolitical conflicts, and their potentially material adverse impact on our business and the execution of our clinical trials.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2023, filed with the United States Securities and Exchange Commission on February 29, 2024,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218,789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237,539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at June 30, 2024 and December 31,</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No shares issued or outstanding at June 30, 2024 and December 31, 2023.</w:t>
            </w:r>
          </w:p>
        </w:tc>
        <w:tc>
          <w:tcPr>
            <w:tcW w:w="2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 51,522,125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51,445,862 shares issued and outstanding at June 30, 2024 and December 31, 2023, respectively.</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540,986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(326,486 )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c>
          <w:tcPr>
            <w:tcW w:w="0" w:type="dxa"/>
            <w:vAlign w:val="bottom"/>
          </w:tcPr>
          <w:p>
            <w:pPr>
              <w:spacing w:after="0"/>
              <w:rPr>
                <w:sz w:val="1"/>
                <w:szCs w:val="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237,539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-2999740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-2039620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-1722120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41,602</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(20,170 )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(20,122 )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(38,391 )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(41,602 )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(17 )</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(17,386 )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(17,432 )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(32,656 )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(36,560 )</w:t>
            </w: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income taxes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(16,173 )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(16,173 )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(17,436 )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(16,483 )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(36,564 )</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(408 )</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0"/>
                <w:szCs w:val="20"/>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(16,891 )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(36,447 )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51,478,751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45,813,132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51,462,307</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45,793,355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-2605405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-2605405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-2605405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-1653540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-1653540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-1336675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-702310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980" w:type="dxa"/>
            <w:vAlign w:val="bottom"/>
            <w:gridSpan w:val="4"/>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42"/>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e</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3"/>
                <w:szCs w:val="13"/>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(Loss) Income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45,771,332</w:t>
            </w:r>
          </w:p>
        </w:tc>
        <w:tc>
          <w:tcPr>
            <w:tcW w:w="4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4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487,516</w:t>
            </w:r>
          </w:p>
        </w:tc>
        <w:tc>
          <w:tcPr>
            <w:tcW w:w="420" w:type="dxa"/>
            <w:vAlign w:val="bottom"/>
            <w:tcBorders>
              <w:left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(241,043 )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(19,128 )</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(19,128 )</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45,774,761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490,460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(260,171 )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tcBorders>
              <w:right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00" w:type="dxa"/>
            <w:vAlign w:val="bottom"/>
            <w:shd w:val="clear" w:color="auto" w:fill="CFF0FC"/>
          </w:tcPr>
          <w:p>
            <w:pPr>
              <w:spacing w:after="0"/>
              <w:rPr>
                <w:sz w:val="15"/>
                <w:szCs w:val="15"/>
                <w:color w:val="auto"/>
              </w:rPr>
            </w:pP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24,417</w:t>
            </w:r>
          </w:p>
        </w:tc>
        <w:tc>
          <w:tcPr>
            <w:tcW w:w="30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344,358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(17,436 )</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(17,436 )</w:t>
            </w:r>
          </w:p>
        </w:tc>
        <w:tc>
          <w:tcPr>
            <w:tcW w:w="0" w:type="dxa"/>
            <w:vAlign w:val="bottom"/>
          </w:tcPr>
          <w:p>
            <w:pPr>
              <w:spacing w:after="0"/>
              <w:rPr>
                <w:sz w:val="1"/>
                <w:szCs w:val="1"/>
                <w:color w:val="auto"/>
              </w:rPr>
            </w:pPr>
          </w:p>
        </w:tc>
      </w:tr>
      <w:tr>
        <w:trPr>
          <w:trHeight w:val="236"/>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(212 )</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20"/>
        </w:trPr>
        <w:tc>
          <w:tcPr>
            <w:tcW w:w="474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46,143,536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72"/>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495,744</w:t>
            </w:r>
          </w:p>
        </w:tc>
        <w:tc>
          <w:tcPr>
            <w:tcW w:w="2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(277,607 )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980" w:type="dxa"/>
            <w:vAlign w:val="bottom"/>
            <w:gridSpan w:val="4"/>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9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420" w:type="dxa"/>
            <w:vAlign w:val="bottom"/>
            <w:tcBorders>
              <w:left w:val="single" w:sz="8" w:color="CFF0FC"/>
            </w:tcBorders>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tcBorders>
              <w:left w:val="single" w:sz="8" w:color="CFF0FC"/>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420" w:type="dxa"/>
            <w:vAlign w:val="bottom"/>
            <w:tcBorders>
              <w:left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(310,003 )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(15,270 )</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(15,270 )</w:t>
            </w: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(319 )</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(34 )</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300" w:type="dxa"/>
            <w:vAlign w:val="bottom"/>
            <w:tcBorders>
              <w:left w:val="single" w:sz="8" w:color="CFF0FC"/>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260" w:type="dxa"/>
            <w:vAlign w:val="bottom"/>
            <w:tcBorders>
              <w:left w:val="single" w:sz="8" w:color="CFF0FC"/>
              <w:right w:val="single" w:sz="8" w:color="CFF0FC"/>
            </w:tcBorders>
            <w:shd w:val="clear" w:color="auto" w:fill="CFF0FC"/>
          </w:tcPr>
          <w:p>
            <w:pPr>
              <w:spacing w:after="0"/>
              <w:rPr>
                <w:sz w:val="23"/>
                <w:szCs w:val="23"/>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(129 )</w:t>
            </w: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(325,273 )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74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(1,213 )</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(1,213 )</w:t>
            </w:r>
          </w:p>
        </w:tc>
        <w:tc>
          <w:tcPr>
            <w:tcW w:w="0" w:type="dxa"/>
            <w:vAlign w:val="bottom"/>
          </w:tcPr>
          <w:p>
            <w:pPr>
              <w:spacing w:after="0"/>
              <w:rPr>
                <w:sz w:val="1"/>
                <w:szCs w:val="1"/>
                <w:color w:val="auto"/>
              </w:rPr>
            </w:pPr>
          </w:p>
        </w:tc>
      </w:tr>
      <w:tr>
        <w:trPr>
          <w:trHeight w:val="239"/>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(61 )</w:t>
            </w:r>
          </w:p>
        </w:tc>
        <w:tc>
          <w:tcPr>
            <w:tcW w:w="1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2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51,522,125</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540,986</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(185 )</w:t>
            </w: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(326,486 )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-3839845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-3839845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-3839845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-3839845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-3839845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-2802890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-2802890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-2802890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-2802890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-2802890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-1062355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-1045210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-1062355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-1045210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-1062355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-1045210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-1062355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-1045210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-1062355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-1045210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7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(16,483 )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9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(3,004 )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income</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(193 )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(1,518 )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(4,239 )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21"/>
                <w:szCs w:val="2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(17,782 )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(27,913 )</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(71,374 )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(129,552 )</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100,461</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115,955</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(14,318 )</w:t>
            </w: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EIP</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9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(40,088 )</w:t>
            </w: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49,348</w:t>
            </w: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-2399665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-813435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Formation and Business of the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Liquidity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One Research Way, Princeton, New Jersey.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six months ended June 30, 2024, the Company incurred a net loss of $1,213 and $16,483, respectively. For the six months ended June 30, 2024, the Company used $17,782 of cash for operations. At June 30, 2024, the Company had an accumulated deficit of $326,486. Cash, cash equivalents, and marketable securities were $212,919 as of June 30, 2024.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2023, included in the Company’s Annual Report on Form 10-K filed with the United States Securities and Exchange Commission (the “SEC”) on February 29, 2024.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June 30, 2024, the condensed consolidated statements of operations and comprehensive loss, condensed consolidated statements of stockholders’ equity and condensed consolidated statements of statements of cash flows for the three and six months ended June 30, 2024 and 2023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condensed consolidated balance sheet as of December 31, 2023, has been derived from our audited condensed consolidated financial statements.</w:t>
      </w:r>
    </w:p>
    <w:p>
      <w:pPr>
        <w:spacing w:after="0" w:line="6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the accounts of our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six months ended June 30, 2024 and 2023, the Company recorded $3,004 and $1,670 of accretion, respectively.</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June 30, 2024 and December 31, 2023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Company’s financial assets consist of money market funds, U.S. government debt securities and corporate debt securities. The following tables show the Company’s cash equivalents and available-for-sale securities’ carrying amounts and fair values as of June 30, 2024, and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0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42,617</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30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212,831</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147,872</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64,959</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70,043</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64,466</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228,359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228,550</w:t>
            </w:r>
          </w:p>
        </w:tc>
        <w:tc>
          <w:tcPr>
            <w:tcW w:w="260" w:type="dxa"/>
            <w:vAlign w:val="bottom"/>
            <w:tcBorders>
              <w:left w:val="single" w:sz="8" w:color="CFF0FC"/>
              <w:bottom w:val="single" w:sz="8" w:color="CFF0FC"/>
              <w:right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135,568</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92,982</w:t>
            </w:r>
          </w:p>
        </w:tc>
        <w:tc>
          <w:tcPr>
            <w:tcW w:w="1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-1593850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-1576705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-1593850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-1576705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-1593850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-1576705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-1576705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-1576705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-1576705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June 30, 2024, the Company had aggregate cash and cash equivalents of $48,526, including cash equivalents of $48,437,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consisting of money market funds. As of December 31, 2023, the Company had aggregate cash and cash equivalents of $37,706, including cash equivalents of $37,694, consisting of money market funds. Money market funds are classified within level 1 of the fair value hierarchy because they are valued using quoted market prices in active markets.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$164,393 as of June 30, 2024, consisted of corporate debt securities of $42,617 and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$121,777. There were $164,393 current marketable securities and $0 noncurrent marketable securities as of June 30, 2024. Marketable securities of $190,856 as of December 31, 2023, consisted of corporate debt securities of $70,043 and government debt securities of $120,813. There were $165,351 current marketable securities and $25,505 noncurrent marketable securities as of December 31, 2023.</w:t>
      </w:r>
    </w:p>
    <w:p>
      <w:pPr>
        <w:spacing w:after="0" w:line="72"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6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11,364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14,535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(4,005 )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auto"/>
              <w:bottom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10,530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$372 and $369, respectively. Depreciation expense for the six months ended June 30, 2024 and 2023 was $734 and $540,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right="860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jc w:val="both"/>
        <w:ind w:right="60" w:firstLine="509"/>
        <w:spacing w:after="0" w:line="281" w:lineRule="auto"/>
        <w:rPr>
          <w:sz w:val="20"/>
          <w:szCs w:val="20"/>
          <w:color w:val="auto"/>
        </w:rPr>
      </w:pPr>
      <w:r>
        <w:rPr>
          <w:rFonts w:ascii="Times New Roman" w:cs="Times New Roman" w:eastAsia="Times New Roman" w:hAnsi="Times New Roman"/>
          <w:sz w:val="17"/>
          <w:szCs w:val="17"/>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terminated in August 2023.</w:t>
      </w:r>
    </w:p>
    <w:p>
      <w:pPr>
        <w:spacing w:after="0" w:line="5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For the six months ended June 30, 2024, $242 of reimbursements were received.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six months ended June 30, 2024, and 2023,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FF0FC"/>
          </w:tcPr>
          <w:p>
            <w:pPr>
              <w:spacing w:after="0"/>
              <w:rPr>
                <w:sz w:val="20"/>
                <w:szCs w:val="20"/>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-663575</wp:posOffset>
            </wp:positionV>
            <wp:extent cx="10223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-663575</wp:posOffset>
            </wp:positionV>
            <wp:extent cx="939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June 30, 2024, and December 31, 2023,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12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54"/>
        </w:trPr>
        <w:tc>
          <w:tcPr>
            <w:tcW w:w="85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2024 and 2023, respectively,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Borders>
              <w:bottom w:val="single" w:sz="8" w:color="auto"/>
            </w:tcBorders>
            <w:gridSpan w:val="8"/>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gridSpan w:val="2"/>
          </w:tcPr>
          <w:p>
            <w:pPr>
              <w:spacing w:after="0"/>
              <w:rPr>
                <w:sz w:val="24"/>
                <w:szCs w:val="24"/>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-1502410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-1502410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June 30, 2024, under operating leases by fiscal year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FF0FC"/>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tcPr>
          <w:p>
            <w:pPr>
              <w:spacing w:after="0"/>
              <w:rPr>
                <w:sz w:val="21"/>
                <w:szCs w:val="21"/>
                <w:color w:val="auto"/>
              </w:rPr>
            </w:pPr>
          </w:p>
        </w:tc>
      </w:tr>
      <w:tr>
        <w:trPr>
          <w:trHeight w:val="23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100" w:type="dxa"/>
            <w:vAlign w:val="bottom"/>
            <w:shd w:val="clear" w:color="auto" w:fill="CFF0FC"/>
          </w:tcPr>
          <w:p>
            <w:pPr>
              <w:spacing w:after="0"/>
              <w:rPr>
                <w:sz w:val="20"/>
                <w:szCs w:val="20"/>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(3,194 )</w:t>
            </w:r>
          </w:p>
        </w:tc>
      </w:tr>
      <w:tr>
        <w:trPr>
          <w:trHeight w:val="277"/>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Rent expense recorded during the three months ended June 30, 2024 and 2023 was $355 and $596, respectively. Rent expense recorded during the six months ended June 30, 2024 and 2023 was $709 and $1,193, respectively.</w:t>
      </w:r>
    </w:p>
    <w:p>
      <w:pPr>
        <w:spacing w:after="0" w:line="200" w:lineRule="exact"/>
        <w:rPr>
          <w:sz w:val="20"/>
          <w:szCs w:val="20"/>
          <w:color w:val="auto"/>
        </w:rPr>
      </w:pP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ectPr>
          <w:pgSz w:w="11900" w:h="16838" w:orient="portrait"/>
          <w:cols w:equalWidth="0" w:num="1">
            <w:col w:w="11300"/>
          </w:cols>
          <w:pgMar w:left="320" w:top="765" w:right="279" w:bottom="1440" w:gutter="0" w:footer="0" w:header="0"/>
        </w:sectPr>
      </w:pPr>
    </w:p>
    <w:p>
      <w:pPr>
        <w:spacing w:after="0" w:line="1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June 30, 2024 and December 31, 2023, there were 51,522,125 and 51,445,862 shares of common stock issued and outstanding, respectively.</w:t>
      </w:r>
    </w:p>
    <w:p>
      <w:pPr>
        <w:spacing w:after="0" w:line="6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June 30, 2024, no dividends on common stock had been declared by the Company.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and six months ended June 30, 2024, the Company did not sell any shares of its common stock under the ATM Program. As of June 30, 2024, the Company has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2024, the board's compensation committee, as the 2020 Plan administrator, exercised its discretion under clause (ii) to increase the number of shares of common stock reserved for issuance under the 2020 Plan by 2,572,174 shares, effective as of January 1, 2024. As of June 30, 2024, there were 5,274,070 shares available for issuance under the 2020 Plan.</w:t>
      </w:r>
    </w:p>
    <w:p>
      <w:pPr>
        <w:spacing w:after="0" w:line="8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2024, the 2020 ESPP reserved shares were increased under clause (ii) by 514,434 shares, effective as of January 1, 2024. As of June 30, 2024, 275,497 shares are issued or outstanding, and there were 1,136,410 shares available for issuance, under the 2020 ESPP.</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six-month period ended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7"/>
        </w:trPr>
        <w:tc>
          <w:tcPr>
            <w:tcW w:w="4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2,572,174</w:t>
            </w:r>
          </w:p>
        </w:tc>
        <w:tc>
          <w:tcPr>
            <w:tcW w:w="2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(3,321,070 )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3,321,070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1,548,555</w:t>
            </w:r>
          </w:p>
        </w:tc>
        <w:tc>
          <w:tcPr>
            <w:tcW w:w="2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(1,548,555 )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(3,111 )</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 (unaudited)</w:t>
            </w:r>
          </w:p>
        </w:tc>
        <w:tc>
          <w:tcPr>
            <w:tcW w:w="12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5,274,070</w:t>
            </w:r>
          </w:p>
        </w:tc>
        <w:tc>
          <w:tcPr>
            <w:tcW w:w="24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8,742,868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FF0FC"/>
            </w:tcBorders>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8,742,868</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4,207,339</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-702310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-702310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-702310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 June 30, 2024, the total compensation cost related to nonvested awards not yet recognized was $14,576. The weighted-average period over which the nonvested awards is expected to be recognized was 2.7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- 4.69%</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- 3.95%</w:t>
            </w:r>
          </w:p>
        </w:tc>
        <w:tc>
          <w:tcPr>
            <w:tcW w:w="100" w:type="dxa"/>
            <w:vAlign w:val="bottom"/>
            <w:shd w:val="clear" w:color="auto" w:fill="CCEE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c>
          <w:tcPr>
            <w:tcW w:w="2540" w:type="dxa"/>
            <w:vAlign w:val="bottom"/>
            <w:gridSpan w:val="3"/>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- 86.76%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- 77.7%</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5.36%</w:t>
            </w:r>
          </w:p>
        </w:tc>
        <w:tc>
          <w:tcPr>
            <w:tcW w:w="100" w:type="dxa"/>
            <w:vAlign w:val="bottom"/>
            <w:shd w:val="clear" w:color="auto" w:fill="CCEC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0.50</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0.49</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C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85.55%</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76.50%</w:t>
            </w:r>
          </w:p>
        </w:tc>
        <w:tc>
          <w:tcPr>
            <w:tcW w:w="100" w:type="dxa"/>
            <w:vAlign w:val="bottom"/>
          </w:tcPr>
          <w:p>
            <w:pPr>
              <w:spacing w:after="0"/>
              <w:rPr>
                <w:sz w:val="20"/>
                <w:szCs w:val="20"/>
                <w:color w:val="auto"/>
              </w:rPr>
            </w:pPr>
          </w:p>
        </w:tc>
      </w:tr>
    </w:tbl>
    <w:p>
      <w:pPr>
        <w:spacing w:after="0" w:line="32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ectPr>
          <w:pgSz w:w="11900" w:h="16838" w:orient="portrait"/>
          <w:cols w:equalWidth="0" w:num="1">
            <w:col w:w="11240"/>
          </w:cols>
          <w:pgMar w:left="320" w:top="76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87"/>
        </w:trPr>
        <w:tc>
          <w:tcPr>
            <w:tcW w:w="7060" w:type="dxa"/>
            <w:vAlign w:val="bottom"/>
          </w:tcPr>
          <w:p>
            <w:pPr>
              <w:spacing w:after="0"/>
              <w:rPr>
                <w:sz w:val="16"/>
                <w:szCs w:val="16"/>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952,665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(52,550 )</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shares at June 30, 2024</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1,136,411</w:t>
            </w: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FF0FC"/>
            </w:tcBorders>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there was $1,468 of unrecognized compensation cost related to RSUs that are expected to vest. These costs are expected to be recognized over a weighted average remaining vesting period of 1.0 years.</w:t>
      </w:r>
    </w:p>
    <w:p>
      <w:pPr>
        <w:spacing w:after="0" w:line="54" w:lineRule="exact"/>
        <w:rPr>
          <w:sz w:val="20"/>
          <w:szCs w:val="20"/>
          <w:color w:val="auto"/>
        </w:rPr>
      </w:pPr>
    </w:p>
    <w:p>
      <w:pPr>
        <w:jc w:val="both"/>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4280" w:type="dxa"/>
            <w:vAlign w:val="bottom"/>
          </w:tcPr>
          <w:p>
            <w:pPr>
              <w:spacing w:after="0"/>
              <w:rPr>
                <w:sz w:val="19"/>
                <w:szCs w:val="19"/>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40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8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2,237</w:t>
            </w:r>
          </w:p>
        </w:tc>
        <w:tc>
          <w:tcPr>
            <w:tcW w:w="126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2,639</w:t>
            </w:r>
          </w:p>
        </w:tc>
        <w:tc>
          <w:tcPr>
            <w:tcW w:w="100" w:type="dxa"/>
            <w:vAlign w:val="bottom"/>
            <w:shd w:val="clear" w:color="auto" w:fill="CFF0FC"/>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3,140</w:t>
            </w:r>
          </w:p>
        </w:tc>
        <w:tc>
          <w:tcPr>
            <w:tcW w:w="2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3,446</w:t>
            </w:r>
          </w:p>
        </w:tc>
        <w:tc>
          <w:tcPr>
            <w:tcW w:w="100" w:type="dxa"/>
            <w:vAlign w:val="bottom"/>
          </w:tcPr>
          <w:p>
            <w:pPr>
              <w:spacing w:after="0"/>
              <w:rPr>
                <w:sz w:val="21"/>
                <w:szCs w:val="21"/>
                <w:color w:val="auto"/>
              </w:rPr>
            </w:pPr>
          </w:p>
        </w:tc>
      </w:tr>
      <w:tr>
        <w:trPr>
          <w:trHeight w:val="277"/>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5,377</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6,085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4280" w:type="dxa"/>
            <w:vAlign w:val="bottom"/>
          </w:tcPr>
          <w:p>
            <w:pPr>
              <w:spacing w:after="0"/>
              <w:rPr>
                <w:sz w:val="19"/>
                <w:szCs w:val="19"/>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4,069</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4,770</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1,199</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1,207</w:t>
            </w:r>
          </w:p>
        </w:tc>
        <w:tc>
          <w:tcPr>
            <w:tcW w:w="100" w:type="dxa"/>
            <w:vAlign w:val="bottom"/>
          </w:tcPr>
          <w:p>
            <w:pPr>
              <w:spacing w:after="0"/>
              <w:rPr>
                <w:sz w:val="20"/>
                <w:szCs w:val="20"/>
                <w:color w:val="auto"/>
              </w:rPr>
            </w:pPr>
          </w:p>
        </w:tc>
      </w:tr>
      <w:tr>
        <w:trPr>
          <w:trHeight w:val="24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4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5,377</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6,085</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-187960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92.6% and 0% for the three months ended June 30, 2024 and 2023, respectively. The income tax provision and effective tax rate are driven primarily by the proceeds from the sale of the Company’s New Jersey tax net operating loss carryforwards and R&amp;D tax credits.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 operating loss ("NOL") carryforwards and R&amp;D tax credits to other New Jersey-based corporate taxpayers. As of June 30, 2024, the Company received $16,176 of cash for the NOL and R&amp;D tax credit sales related to the tax years ended December 31, 2015 to 2022. The sale of the NOLs and R&amp;D tax credits has been recorded as an income tax benefit within the condensed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units at each period end from the computation of diluted net loss per share attributable to common stockholders for the periods indicated because including them would have</w:t>
      </w:r>
    </w:p>
    <w:p>
      <w:pPr>
        <w:sectPr>
          <w:pgSz w:w="11900" w:h="16838" w:orient="portrait"/>
          <w:cols w:equalWidth="0" w:num="1">
            <w:col w:w="11240"/>
          </w:cols>
          <w:pgMar w:left="320" w:top="765"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an anti-dilutive effect. The following common stock equivalents were excluded from the calculation of diluted net loss per share:</w:t>
      </w:r>
    </w:p>
    <w:p>
      <w:pPr>
        <w:spacing w:after="0" w:line="23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38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8,742,868</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7,124,912</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1,136,411</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2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9,901,023</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7,563,598</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June 30, 2024 and 2023 were $50 and $33, respectively. Total consulting fees paid during the six months ended June 30, 2024 and 2023 were $87 and $42, respectively. There were no amounts owed under the consulting agreements as of June 30,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Substantially all of the costs under the restructuring plan were incurred during the six months ended June 30, 2024. The remaining expected costs are not expected to be material and will be complete by September 30, 2024. The Company is taking these steps in order to streamline operations, reduce costs and preserve capital as it advances into late-stage development for its lead product candidate, PC14586.</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$630,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54" w:lineRule="exact"/>
        <w:rPr>
          <w:sz w:val="20"/>
          <w:szCs w:val="20"/>
          <w:color w:val="auto"/>
        </w:rPr>
      </w:pPr>
    </w:p>
    <w:p>
      <w:pPr>
        <w:ind w:right="260" w:firstLine="509"/>
        <w:spacing w:after="0" w:line="313" w:lineRule="auto"/>
        <w:rPr>
          <w:sz w:val="20"/>
          <w:szCs w:val="20"/>
          <w:color w:val="auto"/>
        </w:rPr>
      </w:pPr>
      <w:r>
        <w:rPr>
          <w:rFonts w:ascii="Times New Roman" w:cs="Times New Roman" w:eastAsia="Times New Roman" w:hAnsi="Times New Roman"/>
          <w:sz w:val="18"/>
          <w:szCs w:val="18"/>
          <w:color w:val="auto"/>
        </w:rPr>
        <w:t>The following sets forth information regarding the balances and activity associated with the Company's accrued employee severance and benefits costs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6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Expenses, net</w:t>
            </w:r>
          </w:p>
        </w:tc>
        <w:tc>
          <w:tcPr>
            <w:tcW w:w="240" w:type="dxa"/>
            <w:vAlign w:val="bottom"/>
          </w:tcPr>
          <w:p>
            <w:pPr>
              <w:spacing w:after="0"/>
              <w:rPr>
                <w:sz w:val="13"/>
                <w:szCs w:val="13"/>
                <w:color w:val="auto"/>
              </w:rPr>
            </w:pPr>
          </w:p>
        </w:tc>
        <w:tc>
          <w:tcPr>
            <w:tcW w:w="19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vMerge w:val="restart"/>
          </w:tcPr>
          <w:p>
            <w:pPr>
              <w:spacing w:after="0"/>
              <w:rPr>
                <w:sz w:val="13"/>
                <w:szCs w:val="13"/>
                <w:color w:val="auto"/>
              </w:rPr>
            </w:pPr>
          </w:p>
        </w:tc>
        <w:tc>
          <w:tcPr>
            <w:tcW w:w="20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6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Employee severance and benefit</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(500 )</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"Exchange Offer"). The completion date of the Exchange Offer will be August 13, 2024 (unless otherwise extended), at which time the new stock options will be granted to employees who tender their respective eligible stock options and elect to participate in the Exchange Offer.</w:t>
      </w:r>
    </w:p>
    <w:p>
      <w:pPr>
        <w:spacing w:after="0" w:line="75"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On August 5,2024, the Company entered into a Lease Termination Agreement with BMR-One Research Way LLC, a Delaware limited liability company, in connection with the termination of the lease for 50,581 square feet of office and laboratory space at One Research Way in Princeton, New Jersey. Pursuant to the Termination Agreement, the Company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Landlord agreed to terminate the Lease effective as of September 30, 2024, contingent on the sale of the Property by the Landlord to a prospective new buyer (the "Contingency").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property and pay a total termination fee of approximately $1,420, consisting of (i) a cash payment in the amount of approximately $798 and (ii) a post of a security deposit in the form of a letter of credit in the amount of approximately $622.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2023 and 2022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2023 filed with the Securities and Exchange Commission, or the SEC, on February 29, 2024.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2023,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and six months ended June 30, 2024, the Company incurred net losses of $1.2 million and $16.5 million, respectively. As of June 30, 2024, we had an accumulated deficit of $326.5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PC14586 (rezatapopt).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60% of sites globally across the US, Europe and Asia-Pacific. In addition, for the separate Phase 1b arm of the PYNNACLE trial, which combines rezatapopt with KEYTRUDA® (pembrolizumab) in collaboration with Merck and Co, we have updated patient eligibility criteria to exclude patients with KRAS single-nucleotide variant, consistent with the Phase 2 monotherapy eligibility criteria, and are continuing to identify the optimal combination dose. We expect to provide interim data on the Phase 2 monotherapy registrational portion of the PYNNACLE trial by mid-2025.</w:t>
      </w:r>
    </w:p>
    <w:p>
      <w:pPr>
        <w:spacing w:after="0" w:line="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on acceptable terms, or at all. If we fail to raise capital or enter into such agreements as and when needed, we may have to significantly delay, scale back or discontinue the development and commercialization of our product candidates.</w:t>
      </w:r>
    </w:p>
    <w:p>
      <w:pPr>
        <w:spacing w:after="0" w:line="54" w:lineRule="exact"/>
        <w:rPr>
          <w:sz w:val="20"/>
          <w:szCs w:val="20"/>
          <w:color w:val="auto"/>
        </w:rPr>
      </w:pPr>
    </w:p>
    <w:p>
      <w:pPr>
        <w:jc w:val="both"/>
        <w:ind w:right="90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(rezatapopt). We initiated a Phase 1/2 clinical trial in October 2020 for our lead product candidate, PC14586. In October 2020, we were granted FDA Fast Track Designation of PC14586 for the treatment of patients with locally advanced or metastatic solid tumors that have a p53 Y220C mutation. In October 2023, we presented our updated Phase 1 clinical data for PC14586 at the 2023 AACR-NCI-EORTC International Conference on Molecular Targets and Cancer Therapeutics Meeting. We are continuing to dose patients, and have activated over 60% of sites globally across the US, Europe and Asia-Pacific, in the registrational, tumor-agnostic PYNNACLE Phase 2 trial of PC14586 in patients with advanced solid tumors harboring a TP53 Y220C mutation and KRAS wild-type (WT). In addition, for the separate Phase 1b arm of the PYNNACLE trial, which combines rezatapopt with KEYTRUDA® (pembrolizumab) in collaboration with Merck and Co., we have updated patient eligibility criteria to exclude patients with KRAS single-nucleotide variant, consistent with the Phase 2 monotherapy eligibility criteria, and are continuing to identify the optimal combination dose. We expect to provide interim data on the Phase 2 monotherapy registrational portion of the PYNNACLE trial by mid-2025.</w:t>
      </w:r>
    </w:p>
    <w:p>
      <w:pPr>
        <w:spacing w:after="0" w:line="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also expect to increase our general and administrative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0" w:name="page21"/>
    <w:bookmarkEnd w:id="20"/>
    <w:p>
      <w:pPr>
        <w:ind w:right="1400"/>
        <w:spacing w:after="0" w:line="282" w:lineRule="auto"/>
        <w:rPr>
          <w:sz w:val="20"/>
          <w:szCs w:val="20"/>
          <w:color w:val="auto"/>
        </w:rPr>
      </w:pPr>
      <w:r>
        <w:rPr>
          <w:rFonts w:ascii="Times New Roman" w:cs="Times New Roman" w:eastAsia="Times New Roman" w:hAnsi="Times New Roman"/>
          <w:sz w:val="18"/>
          <w:szCs w:val="18"/>
          <w:color w:val="auto"/>
        </w:rPr>
        <w:t>expenses as we advance our product candidates through preclinical research and development, manufacturing, clinical development, and commercialization.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(737 )</w:t>
            </w: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(20,170 )</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(20,122 )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1"/>
        </w:trPr>
        <w:tc>
          <w:tcPr>
            <w:tcW w:w="66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(17,386 )</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(17,432 )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income taxes</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(16,173 )</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(16,177 )</w:t>
            </w: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(17,436 )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00" w:type="dxa"/>
            <w:vAlign w:val="bottom"/>
            <w:shd w:val="clear" w:color="auto" w:fill="CFF0FC"/>
          </w:tcPr>
          <w:p>
            <w:pPr>
              <w:spacing w:after="0"/>
              <w:rPr>
                <w:sz w:val="22"/>
                <w:szCs w:val="22"/>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-2228215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-2228215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-1602105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-342265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58"/>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$14.6 million for the three months ended June 30, 2024, compared to $13.8 million for the three months ended June 30, 2023. The increase of $0.8 million, compared to the three months ended June 30, 2023, was primarily due to the following:</w:t>
      </w:r>
    </w:p>
    <w:p>
      <w:pPr>
        <w:spacing w:after="0" w:line="5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decrease in research expenses, largely driven by decreased contractual research organization costs;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in development expenses associated with advancing our lead product candidate, PC14586, through the Phase 1/2 clinical trial;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decrease in expenses for personnel related costs and stock-based compensation, primarily driven by decreased headcount.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three months ended June 30, 2024, compared to $6.3 million for the three months ended June 30, 2023. The decrease of $0.8 million, compared to the three months ended June 30, 2023, was primarily due to following:</w:t>
      </w:r>
    </w:p>
    <w:p>
      <w:pPr>
        <w:spacing w:after="0" w:line="54" w:lineRule="exact"/>
        <w:rPr>
          <w:sz w:val="20"/>
          <w:szCs w:val="20"/>
          <w:color w:val="auto"/>
        </w:rPr>
      </w:pPr>
    </w:p>
    <w:p>
      <w:pPr>
        <w:jc w:val="both"/>
        <w:ind w:left="900" w:right="20" w:hanging="383"/>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decrease in personnel expenses driven by a decrease in headcount, $0.3 million decrease in facility and equipment expenses due to expiration of three leases, and $0.2 million decrease in director and officer insurance fees, offset by a $0.3 million increase in finance and legal support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$2.8 million for the three months ended June 30, 2024. The increase of $0.1 million compared to the three months ended June 30, 2023, is driven by increased interest rates from cash and investments in marketable securities and U.S treasuries during the three months ended June 30,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 Company received $16,176 of cash for the NOL and R&amp;D tax credit sales related to the tax years ended December 31, 2015 to 2020. The sale of the NOLs and R&amp;D tax credits have been recorded as an income tax benefit within the condensed consolidated statement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(1,103 )</w:t>
            </w: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(2,108 )</w:t>
            </w:r>
          </w:p>
        </w:tc>
        <w:tc>
          <w:tcPr>
            <w:tcW w:w="0" w:type="dxa"/>
            <w:vAlign w:val="bottom"/>
          </w:tcPr>
          <w:p>
            <w:pPr>
              <w:spacing w:after="0"/>
              <w:rPr>
                <w:sz w:val="1"/>
                <w:szCs w:val="1"/>
                <w:color w:val="auto"/>
              </w:rPr>
            </w:pP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(3,211 )</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(38,391 )</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(41,602 )</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(32,656 )</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(36,560 )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(16,173 )</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(16,177 )</w:t>
            </w:r>
          </w:p>
        </w:tc>
        <w:tc>
          <w:tcPr>
            <w:tcW w:w="0" w:type="dxa"/>
            <w:vAlign w:val="bottom"/>
          </w:tcPr>
          <w:p>
            <w:pPr>
              <w:spacing w:after="0"/>
              <w:rPr>
                <w:sz w:val="1"/>
                <w:szCs w:val="1"/>
                <w:color w:val="auto"/>
              </w:rPr>
            </w:pP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(16,483 )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(36,564 )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-2228215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-2228215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-1602105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-342265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(819 )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$27.8 million for the six months ended June 30, 2024, compared to $28.9 million for the six months ended June 30, 2023. The decrease of $1.1 million, compared to the six months ended June 30, 2023, was primarily due to the following:</w:t>
      </w:r>
    </w:p>
    <w:p>
      <w:pPr>
        <w:spacing w:after="0" w:line="54"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in research and development expenses, largely driven by decreased contractual research organization costs; offset by</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expenses for personnel related costs and stock-based compensation as a result of the non-recurring charges from our reduction in force initiated in January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$10.6 million for the six months ended June 30, 2024, compared to $12.7 million for the six months ended June 30, 2023. The decrease of $2.1 million, compared to the six months ended June 30, 2023, was primarily due to following:</w:t>
      </w:r>
    </w:p>
    <w:p>
      <w:pPr>
        <w:spacing w:after="0" w:line="54" w:lineRule="exact"/>
        <w:rPr>
          <w:sz w:val="20"/>
          <w:szCs w:val="20"/>
          <w:color w:val="auto"/>
        </w:rPr>
      </w:pPr>
    </w:p>
    <w:p>
      <w:pPr>
        <w:ind w:left="900" w:right="2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personnel expenses driven by a decrease in headcount, $1.1 million decrease in facility and equipment expenses due to expiration of three leases, and $0.3 million decrease in director and officer insurance fees and legal expenses, offset by a $0.3 million increase in finance and legal support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$5.8 million for the six months ended June 30, 2024. The increase of $0.7 million compared to the six months ended June 30, 2023, is driven by increased interest rates from cash and investments in marketable securities and U.S treasuries during the six months ended June 30, 2024.</w:t>
      </w:r>
    </w:p>
    <w:p>
      <w:pPr>
        <w:spacing w:after="0" w:line="2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48,526</w:t>
            </w:r>
          </w:p>
        </w:tc>
        <w:tc>
          <w:tcPr>
            <w:tcW w:w="28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(958 )</w:t>
            </w:r>
          </w:p>
        </w:tc>
      </w:tr>
      <w:tr>
        <w:trPr>
          <w:trHeight w:val="24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(25,505 )</w:t>
            </w:r>
          </w:p>
        </w:tc>
      </w:tr>
      <w:tr>
        <w:trPr>
          <w:trHeight w:val="20"/>
        </w:trPr>
        <w:tc>
          <w:tcPr>
            <w:tcW w:w="6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212,919</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228,562</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(15,643 )</w:t>
            </w:r>
          </w:p>
        </w:tc>
      </w:tr>
      <w:tr>
        <w:trPr>
          <w:trHeight w:val="223"/>
        </w:trPr>
        <w:tc>
          <w:tcPr>
            <w:tcW w:w="66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218,789</w:t>
            </w:r>
          </w:p>
        </w:tc>
        <w:tc>
          <w:tcPr>
            <w:tcW w:w="28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(11,385 )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(14,029 )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207,404</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193,380</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Borders>
              <w:top w:val="single" w:sz="8" w:color="CFF0FC"/>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-830580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-813435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-830580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-813435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candidates and we do not expect to generate revenue from sales of any product candidates for several years, if at all. As of June 30, 2024, we had cash, cash equivalents, and marketable securities of $212.9 million and an accumulated deficit of $326.5 million.</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which registers the offering, issuance, and sale of up to $200 million of various equity and debt securities and up to $150 million of common stock pursuant to our at-the-market equity offering program, dated October 4, 2021, or the ATM Program. During the three and six months ended June 30, 2024, the Company did not sell any shares of its common stock under the ATM Program. As of June 30, 2024, we have approximately $113.8 million remaining in gross proceeds available for future issuances of common stock under the ATM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and has a five-year extension option. Amounts related to future lease payments as of June 30, 2024, totaled $14.3 million, with $1.8 million to be paid within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On January 18, 2024, we announced a restructuring plan involving the reduction of our workforce by approximately 30% of our employees. Substantially all of the costs under the restructuring plan were incurred during the six months ended June 30, 2024. The remaining expected costs are not expected to be material and will be complete by September 30, 2024. As announced, we are taking these steps in order to streamline operations, reduce costs and preserve capital as we advance our lead candidate, PC14586,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$326.5 million through June 30, 2024. We expect to incur substantial additional losses in the future as we expand our research and development activities. For the six months ended June 30, 2024 and 2023, our cash operating expenditures were $17.8 million and $27.9 million, respectively. Based on our research and development plans, we expect that our cash, cash equivalents and marketable securities as of June 30, 2024 will be sufficient to fund our operations to the end of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4" w:name="page25"/>
    <w:bookmarkEnd w:id="24"/>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implementing our announced reduction in force and related reorganization; and</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(17,782 )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(27,913 )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(40,088 )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$17.8 million, which consisted primarily of net loss of $16.5 million partially offset by non-cash charges of $2.9 million. Changes in our net operating assets decreased operating cash by $4.2 million. The non-cash charges primarily consisted of stock-based compensation of $5.4 million, accretion of discounts on marketable securities of $3.0 million, depreciation of $0.7 million, and non-cash lease income of $0.2 million. The change in our net operating assets and liabilities was primarily due to an increase in prepaid expenses and other assets, and a decrease in outstanding payables and accrued expenses.</w:t>
      </w:r>
    </w:p>
    <w:p>
      <w:pPr>
        <w:spacing w:after="0" w:line="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$27.9 million, which consisted primarily of net loss of $36.6 million partially offset by non-cash charges of $4.8 million. Changes in our net operating assets increased operating cash by $3.9 million. The non-cash charges primarily consisted of stock-based compensation of $6.1 million, accretion of premiums on marketable securities of $1.7 million, depreciation of $0.5 million, and non-cash lease income of $0.2 million. The change in our net operating assets and liabilities was primarily due to a decrease in prepaid expenses and other assets, and an increase in outstanding payables and accrued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$28.5 million of cash during the six months ended June 30, 2024, which consisted primarily of maturities of marketable securities of $100.5 million, partially offset by purchases of marketable securities of $71.4 million, along with purchase of property and equipment of $0.6 million.</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used $14.3 million of cash during the six months ended June 30, 2023, which consisted primarily of purchases of marketable securities of $129.6 million, along with purchase of property and equipment of $0.7 million, partially offset by maturities of marketable securities of $116.0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six months ended June 30, 2024. This consisted of $0.1 million of proceeds from the exercise of stock options.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$2.1 million of cash during the six months ended June 30, 2023. This consisted of $2.0 million of common stock issued under the ATM Program, net of issuance costs, and $0.1 million of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six-month period ended June 30, 2024, there were no material changes to our critical accounting policies from those described in our audited condensed consolidated financial statements for the year ended December 31, 2023, included in our Annual Report on Form 10-K filed with the SEC on February 29, 2024, except as noted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six months ended June 30, 2024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$212.9 million and restricted cash of $0.8 million as of June 30, 2024. The Company’s cash equivalents consist of interest-bearing U.S. treasury securities, money market funds, and corporate debt securities. Our exposure due to changes in interest rates is not material due to the nature and amount of our money-market funds and marketable securities.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2024.</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2023, as filed with the SEC on February 29, 2024, as supplemented by our Quarterly Report on Form 10-Q for the quarter ended March 31, 2024, as filed with the SEC on May 9, 2024.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2023, as filed with the SEC on February 29, 2024, and our Quarterly Report on Form 10-Q for the quarter ended March 31, 2024, as filed with the SEC on May 9,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a shelf registration statement on Form S-3 (File No. 333-260012), which was declared effective by the SEC on April 28, 2022. The shelf registration statement consists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During the three and six months ended June 30, 2024, the Company did not sell any shares of its common stock under the ATM Program. As of June 30, 2024, we have approximately $113.8 million remaining in gross proceeds available for future issuances of common stock under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17"/>
        <w:spacing w:after="0" w:line="256" w:lineRule="auto"/>
        <w:tabs>
          <w:tab w:leader="none" w:pos="7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Michael Carulli, our Chief Financial Officer, terminated a trading plan pursuant to Rule 10b5-1 of the Securities Exchange Act of 1934, as amended, for the sale of shares of the Company’s common stock. Mr. Carulli’s 10b5-1 trading plan, previously adopted on September 13, 2023, provided for the sale from time to time of a maximum of 13,500 shares of the Company’s common stock pursuant to the terms of the plan. If Mr. Carulli’s Rule 10b5-1 trading plan had not been terminated, it would have expired on December 31, 2024, or earlier of all transactions under the trading arrangement were completed. The trading arrangement was terminated during an open trading window in accordance with the Company’s policies regarding transactions in the Company’s securities and is intended to satisfy the affirmative defense in Rule 10b5-1(c).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gridSpan w:val="10"/>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0"/>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3.1</w:t>
            </w:r>
          </w:p>
        </w:tc>
        <w:tc>
          <w:tcPr>
            <w:tcW w:w="5540" w:type="dxa"/>
            <w:vAlign w:val="bottom"/>
            <w:gridSpan w:val="12"/>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Amended and Restated Certificate of Incorporation of the Registrant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0" w:type="dxa"/>
            <w:vAlign w:val="bottom"/>
          </w:tcPr>
          <w:p>
            <w:pPr>
              <w:spacing w:after="0"/>
              <w:rPr>
                <w:sz w:val="1"/>
                <w:szCs w:val="1"/>
                <w:color w:val="auto"/>
              </w:rPr>
            </w:pPr>
          </w:p>
        </w:tc>
      </w:tr>
      <w:tr>
        <w:trPr>
          <w:trHeight w:val="466"/>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Amended and Restated Bylaws of the Registrant</w:t>
              </w:r>
            </w:hyperlink>
          </w:p>
        </w:tc>
        <w:tc>
          <w:tcPr>
            <w:tcW w:w="6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May 10, 2023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5"/>
              </w:rPr>
              <w:t>31.2+</w:t>
            </w:r>
          </w:p>
        </w:tc>
        <w:tc>
          <w:tcPr>
            <w:tcW w:w="5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80" w:right="5020" w:hanging="734"/>
        <w:spacing w:after="0" w:line="282"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48"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6" w:right="5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4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205"/>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David H. Mack, Ph.D.</w:t>
            </w:r>
          </w:p>
        </w:tc>
      </w:tr>
      <w:tr>
        <w:trPr>
          <w:trHeight w:val="229"/>
        </w:trPr>
        <w:tc>
          <w:tcPr>
            <w:tcW w:w="36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59"/>
        </w:trPr>
        <w:tc>
          <w:tcPr>
            <w:tcW w:w="3600" w:type="dxa"/>
            <w:vAlign w:val="bottom"/>
          </w:tcPr>
          <w:p>
            <w:pPr>
              <w:spacing w:after="0"/>
              <w:rPr>
                <w:sz w:val="24"/>
                <w:szCs w:val="24"/>
                <w:color w:val="auto"/>
              </w:rPr>
            </w:pP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4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Carulli</w:t>
            </w:r>
          </w:p>
        </w:tc>
      </w:tr>
      <w:tr>
        <w:trPr>
          <w:trHeight w:val="205"/>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Michael Carulli</w:t>
            </w:r>
          </w:p>
        </w:tc>
      </w:t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670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23"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198"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
      <w:numFmt w:val="bullet"/>
      <w:start w:val="1"/>
    </w:lvl>
    <w:lvl w:ilvl="1">
      <w:lvlJc w:val="left"/>
      <w:lvlText w:val="%2"/>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46" Type="http://schemas.openxmlformats.org/officeDocument/2006/relationships/hyperlink" Target="https://www.sec.gov/Archives/edgar/data/1699382/000119312520257820/d95525dex31.htm" TargetMode="External"/><Relationship Id="rId247"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2024-08-08T07:11:55Z</dcterms:created>
  <dcterms:modified xsi:type="dcterms:W3CDTF">2024-08-08T07:11:55Z</dcterms:modified>
</cp:coreProperties>
</file>