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744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744345"/>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4"/>
            <w:vMerge w:val="restart"/>
          </w:tcPr>
          <w:p>
            <w:pPr>
              <w:ind w:left="20"/>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Heyman Richard A</w:t>
              </w:r>
              <w:r>
                <w:rPr>
                  <w:rFonts w:ascii="Arial" w:cs="Arial" w:eastAsia="Arial" w:hAnsi="Arial"/>
                  <w:sz w:val="21"/>
                  <w:szCs w:val="21"/>
                  <w:color w:val="0000EE"/>
                </w:rPr>
                <w:t>.</w:t>
              </w:r>
            </w:hyperlink>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0" w:type="dxa"/>
            <w:vAlign w:val="bottom"/>
            <w:gridSpan w:val="8"/>
          </w:tcPr>
          <w:p>
            <w:pPr>
              <w:ind w:left="80"/>
              <w:spacing w:after="0" w:line="103" w:lineRule="exact"/>
              <w:rPr>
                <w:rFonts w:ascii="Arial" w:cs="Arial" w:eastAsia="Arial" w:hAnsi="Arial"/>
                <w:sz w:val="11"/>
                <w:szCs w:val="11"/>
                <w:color w:val="0000EE"/>
              </w:rPr>
            </w:pPr>
            <w:hyperlink r:id="rId14">
              <w:r>
                <w:rPr>
                  <w:rFonts w:ascii="Arial" w:cs="Arial" w:eastAsia="Arial" w:hAnsi="Arial"/>
                  <w:sz w:val="11"/>
                  <w:szCs w:val="11"/>
                  <w:u w:val="single" w:color="auto"/>
                  <w:color w:val="0000EE"/>
                </w:rPr>
                <w:t>PMV Pharmaceuticals, Inc.</w:t>
              </w:r>
              <w:r>
                <w:rPr>
                  <w:rFonts w:ascii="Arial" w:cs="Arial" w:eastAsia="Arial" w:hAnsi="Arial"/>
                  <w:sz w:val="11"/>
                  <w:szCs w:val="11"/>
                  <w:color w:val="0000EE"/>
                </w:rPr>
                <w:t xml:space="preserve">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PMVP</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60" w:type="dxa"/>
            <w:vAlign w:val="bottom"/>
            <w:gridSpan w:val="4"/>
            <w:vMerge w:val="continue"/>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gridSpan w:val="5"/>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60" w:type="dxa"/>
            <w:vAlign w:val="bottom"/>
            <w:gridSpan w:val="4"/>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5"/>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7"/>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0"/>
                <w:szCs w:val="10"/>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300" w:type="dxa"/>
            <w:vAlign w:val="bottom"/>
            <w:gridSpan w:val="4"/>
            <w:vMerge w:val="restart"/>
          </w:tcPr>
          <w:p>
            <w:pPr>
              <w:ind w:left="260"/>
              <w:spacing w:after="0"/>
              <w:rPr>
                <w:sz w:val="20"/>
                <w:szCs w:val="20"/>
                <w:color w:val="auto"/>
              </w:rPr>
            </w:pPr>
            <w:r>
              <w:rPr>
                <w:rFonts w:ascii="Arial" w:cs="Arial" w:eastAsia="Arial" w:hAnsi="Arial"/>
                <w:sz w:val="17"/>
                <w:szCs w:val="17"/>
                <w:color w:val="0000FF"/>
              </w:rPr>
              <w:t>11/11/2020</w:t>
            </w: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60" w:type="dxa"/>
            <w:vAlign w:val="bottom"/>
            <w:gridSpan w:val="5"/>
            <w:vMerge w:val="restart"/>
          </w:tcPr>
          <w:p>
            <w:pPr>
              <w:ind w:left="20"/>
              <w:spacing w:after="0"/>
              <w:rPr>
                <w:sz w:val="20"/>
                <w:szCs w:val="20"/>
                <w:color w:val="auto"/>
              </w:rPr>
            </w:pPr>
            <w:r>
              <w:rPr>
                <w:rFonts w:ascii="Arial" w:cs="Arial" w:eastAsia="Arial" w:hAnsi="Arial"/>
                <w:sz w:val="17"/>
                <w:szCs w:val="17"/>
                <w:color w:val="0000FF"/>
              </w:rPr>
              <w:t>C/O PMV PHARMACEUTICALS, INC.</w:t>
            </w:r>
          </w:p>
        </w:tc>
        <w:tc>
          <w:tcPr>
            <w:tcW w:w="1300" w:type="dxa"/>
            <w:vAlign w:val="bottom"/>
            <w:gridSpan w:val="4"/>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5"/>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Arial" w:cs="Arial" w:eastAsia="Arial" w:hAnsi="Arial"/>
                <w:sz w:val="17"/>
                <w:szCs w:val="17"/>
                <w:color w:val="0000FF"/>
              </w:rPr>
              <w:t>8 CLARKE DRIVE, SUITE 3</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0" w:type="dxa"/>
            <w:vAlign w:val="bottom"/>
            <w:gridSpan w:val="8"/>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0" w:type="dxa"/>
            <w:vAlign w:val="bottom"/>
            <w:gridSpan w:val="8"/>
            <w:vMerge w:val="continue"/>
          </w:tcPr>
          <w:p>
            <w:pPr>
              <w:spacing w:after="0"/>
              <w:rPr>
                <w:sz w:val="7"/>
                <w:szCs w:val="7"/>
                <w:color w:val="auto"/>
              </w:rPr>
            </w:pPr>
          </w:p>
        </w:tc>
        <w:tc>
          <w:tcPr>
            <w:tcW w:w="240" w:type="dxa"/>
            <w:vAlign w:val="bottom"/>
          </w:tcPr>
          <w:p>
            <w:pPr>
              <w:spacing w:after="0"/>
              <w:rPr>
                <w:sz w:val="7"/>
                <w:szCs w:val="7"/>
                <w:color w:val="auto"/>
              </w:rPr>
            </w:pPr>
          </w:p>
        </w:tc>
        <w:tc>
          <w:tcPr>
            <w:tcW w:w="340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1"/>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Arial" w:cs="Arial" w:eastAsia="Arial" w:hAnsi="Arial"/>
                <w:sz w:val="17"/>
                <w:szCs w:val="17"/>
                <w:color w:val="0000FF"/>
              </w:rPr>
              <w:t>CRANBURY</w:t>
            </w:r>
          </w:p>
        </w:tc>
        <w:tc>
          <w:tcPr>
            <w:tcW w:w="200" w:type="dxa"/>
            <w:vAlign w:val="bottom"/>
          </w:tcPr>
          <w:p>
            <w:pPr>
              <w:spacing w:after="0"/>
              <w:rPr>
                <w:sz w:val="20"/>
                <w:szCs w:val="20"/>
                <w:color w:val="auto"/>
              </w:rPr>
            </w:pPr>
            <w:r>
              <w:rPr>
                <w:rFonts w:ascii="Arial" w:cs="Arial" w:eastAsia="Arial" w:hAnsi="Arial"/>
                <w:sz w:val="17"/>
                <w:szCs w:val="17"/>
                <w:color w:val="0000FF"/>
                <w:w w:val="86"/>
              </w:rPr>
              <w:t>NJ</w:t>
            </w:r>
          </w:p>
        </w:tc>
        <w:tc>
          <w:tcPr>
            <w:tcW w:w="102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08512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8"/>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7"/>
          </w:tcPr>
          <w:p>
            <w:pPr>
              <w:ind w:left="7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40" w:type="dxa"/>
            <w:vAlign w:val="bottom"/>
            <w:tcBorders>
              <w:bottom w:val="single" w:sz="8" w:color="2C2C2C"/>
            </w:tcBorders>
            <w:gridSpan w:val="5"/>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4"/>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880" w:type="dxa"/>
            <w:vAlign w:val="bottom"/>
            <w:tcBorders>
              <w:bottom w:val="single" w:sz="8" w:color="2C2C2C"/>
            </w:tcBorders>
            <w:gridSpan w:val="8"/>
          </w:tcPr>
          <w:p>
            <w:pPr>
              <w:spacing w:after="0"/>
              <w:rPr>
                <w:sz w:val="7"/>
                <w:szCs w:val="7"/>
                <w:color w:val="auto"/>
              </w:rPr>
            </w:pPr>
          </w:p>
        </w:tc>
        <w:tc>
          <w:tcPr>
            <w:tcW w:w="25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7"/>
          </w:tcPr>
          <w:p>
            <w:pPr>
              <w:ind w:left="9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80" w:type="dxa"/>
            <w:vAlign w:val="bottom"/>
            <w:gridSpan w:val="14"/>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54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54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4.22</w:t>
            </w:r>
          </w:p>
        </w:tc>
        <w:tc>
          <w:tcPr>
            <w:tcW w:w="200" w:type="dxa"/>
            <w:vAlign w:val="bottom"/>
          </w:tcPr>
          <w:p>
            <w:pPr>
              <w:spacing w:after="0"/>
              <w:rPr>
                <w:sz w:val="16"/>
                <w:szCs w:val="16"/>
                <w:color w:val="auto"/>
              </w:rPr>
            </w:pPr>
          </w:p>
        </w:tc>
        <w:tc>
          <w:tcPr>
            <w:tcW w:w="1020" w:type="dxa"/>
            <w:vAlign w:val="bottom"/>
          </w:tcPr>
          <w:p>
            <w:pPr>
              <w:ind w:left="200"/>
              <w:spacing w:after="0"/>
              <w:rPr>
                <w:sz w:val="20"/>
                <w:szCs w:val="20"/>
                <w:color w:val="auto"/>
              </w:rPr>
            </w:pPr>
            <w:r>
              <w:rPr>
                <w:rFonts w:ascii="Arial" w:cs="Arial" w:eastAsia="Arial" w:hAnsi="Arial"/>
                <w:sz w:val="13"/>
                <w:szCs w:val="13"/>
                <w:color w:val="0000FF"/>
              </w:rPr>
              <w:t>11/11/2020</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45,332</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06/22/2030</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line="189" w:lineRule="exact"/>
              <w:rPr>
                <w:sz w:val="20"/>
                <w:szCs w:val="20"/>
                <w:color w:val="auto"/>
              </w:rPr>
            </w:pPr>
            <w:r>
              <w:rPr>
                <w:rFonts w:ascii="Arial" w:cs="Arial" w:eastAsia="Arial" w:hAnsi="Arial"/>
                <w:sz w:val="17"/>
                <w:szCs w:val="17"/>
                <w:color w:val="0000FF"/>
                <w:w w:val="99"/>
              </w:rPr>
              <w:t>45,332</w:t>
            </w:r>
          </w:p>
        </w:tc>
        <w:tc>
          <w:tcPr>
            <w:tcW w:w="60" w:type="dxa"/>
            <w:vAlign w:val="bottom"/>
          </w:tcPr>
          <w:p>
            <w:pPr>
              <w:spacing w:after="0"/>
              <w:rPr>
                <w:sz w:val="16"/>
                <w:szCs w:val="16"/>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45,332</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(right to</w:t>
            </w: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-2833370</wp:posOffset>
            </wp:positionV>
            <wp:extent cx="7033895" cy="2972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297243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160" w:firstLine="2"/>
        <w:spacing w:after="0" w:line="236"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option vested upon (a) the closing of the Issuer's initial public offering which resulted in at least $100,000,000 in gross proceeds with a price per share equal to at least the lowest price per share in the range on the cover of the preliminary prospectus statement utilized on the road show in connection with such initial public offering, which closed effective as of September 29, 2020, and (b) Reporting Person being a contributing factor to the closing of such initial public offering, as determined solely by the Issuer's board of directors; such determination was approved by the Issuer's board of directors on November 11, 2020.</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8" w:lineRule="exact"/>
        <w:rPr>
          <w:sz w:val="20"/>
          <w:szCs w:val="20"/>
          <w:color w:val="auto"/>
        </w:rPr>
      </w:pPr>
    </w:p>
    <w:p>
      <w:pPr>
        <w:ind w:left="40" w:right="320"/>
        <w:spacing w:after="0" w:line="249" w:lineRule="auto"/>
        <w:rPr>
          <w:sz w:val="20"/>
          <w:szCs w:val="20"/>
          <w:color w:val="auto"/>
        </w:rPr>
      </w:pPr>
      <w:r>
        <w:rPr>
          <w:rFonts w:ascii="Arial" w:cs="Arial" w:eastAsia="Arial" w:hAnsi="Arial"/>
          <w:sz w:val="13"/>
          <w:szCs w:val="13"/>
          <w:color w:val="008000"/>
        </w:rPr>
        <w:t>This Form 4 is being filed to report the completion of the performance criteria and vesting conditions applicable to that certain Stock Option originally reported on the Form 3 filed by the Reporting Person on September 24, 2020.</w:t>
      </w:r>
    </w:p>
    <w:p>
      <w:pPr>
        <w:spacing w:after="0" w:line="12"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Winston Kung,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11/12/2020</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84759" TargetMode="External"/><Relationship Id="rId14" Type="http://schemas.openxmlformats.org/officeDocument/2006/relationships/hyperlink" Target="http://www.sec.gov/cgi-bin/browse-edgar?action=getcompany&amp;CIK=0001699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2020-11-12T15:29:47Z</dcterms:created>
  <dcterms:modified xsi:type="dcterms:W3CDTF">2020-11-12T15:29:47Z</dcterms:modified>
</cp:coreProperties>
</file>