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 w:lineRule="exact"/>
        <w:rPr>
          <w:sz w:val="24"/>
          <w:szCs w:val="24"/>
          <w:color w:val="auto"/>
        </w:rPr>
      </w:pPr>
    </w:p>
    <w:p>
      <w:pPr>
        <w:ind w:left="3820" w:right="1620" w:hanging="3799"/>
        <w:spacing w:after="0" w:line="344" w:lineRule="auto"/>
        <w:tabs>
          <w:tab w:leader="none" w:pos="48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2023</w:t>
      </w:r>
    </w:p>
    <w:p>
      <w:pPr>
        <w:spacing w:after="0" w:line="226"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64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001-39539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4" w:lineRule="exact"/>
        <w:rPr>
          <w:sz w:val="24"/>
          <w:szCs w:val="24"/>
          <w:color w:val="auto"/>
        </w:rPr>
      </w:pPr>
    </w:p>
    <w:tbl>
      <w:tblPr>
        <w:tblLayout w:type="fixed"/>
        <w:tblInd w:w="1620" w:type="dxa"/>
        <w:tblCellMar>
          <w:top w:w="0" w:type="dxa"/>
          <w:left w:w="0" w:type="dxa"/>
          <w:bottom w:w="0" w:type="dxa"/>
          <w:right w:w="0" w:type="dxa"/>
        </w:tblCellMar>
      </w:tblPr>
      <w:tr>
        <w:trPr>
          <w:trHeight w:val="238"/>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46-3218129</w:t>
            </w:r>
          </w:p>
        </w:tc>
      </w:tr>
      <w:tr>
        <w:trPr>
          <w:trHeight w:val="151"/>
        </w:trPr>
        <w:tc>
          <w:tcPr>
            <w:tcW w:w="4320" w:type="dxa"/>
            <w:vAlign w:val="bottom"/>
          </w:tcPr>
          <w:p>
            <w:pPr>
              <w:jc w:val="center"/>
              <w:ind w:right="1839"/>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60" w:type="dxa"/>
            <w:vAlign w:val="bottom"/>
          </w:tcPr>
          <w:p>
            <w:pPr>
              <w:jc w:val="center"/>
              <w:ind w:left="186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8"/>
              </w:rPr>
              <w:t>One Research Way</w:t>
            </w:r>
          </w:p>
        </w:tc>
        <w:tc>
          <w:tcPr>
            <w:tcW w:w="3060" w:type="dxa"/>
            <w:vAlign w:val="bottom"/>
          </w:tcPr>
          <w:p>
            <w:pPr>
              <w:spacing w:after="0"/>
              <w:rPr>
                <w:sz w:val="24"/>
                <w:szCs w:val="24"/>
                <w:color w:val="auto"/>
              </w:rPr>
            </w:pPr>
          </w:p>
        </w:tc>
      </w:tr>
      <w:tr>
        <w:trPr>
          <w:trHeight w:val="238"/>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9"/>
              </w:rPr>
              <w:t>Princeton, NJ</w:t>
            </w:r>
          </w:p>
        </w:tc>
        <w:tc>
          <w:tcPr>
            <w:tcW w:w="30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08540</w:t>
            </w:r>
          </w:p>
        </w:tc>
      </w:tr>
      <w:tr>
        <w:trPr>
          <w:trHeight w:val="193"/>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42"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642-6670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$0.00001</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PMVP</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right="80" w:firstLine="509"/>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8" w:lineRule="exact"/>
        <w:rPr>
          <w:sz w:val="24"/>
          <w:szCs w:val="24"/>
          <w:color w:val="auto"/>
        </w:rPr>
      </w:pPr>
    </w:p>
    <w:p>
      <w:pPr>
        <w:ind w:right="140" w:firstLine="509"/>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7" w:lineRule="exact"/>
        <w:rPr>
          <w:sz w:val="24"/>
          <w:szCs w:val="24"/>
          <w:color w:val="auto"/>
        </w:rPr>
      </w:pPr>
    </w:p>
    <w:p>
      <w:pPr>
        <w:ind w:right="260" w:firstLine="509"/>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6" w:lineRule="exact"/>
        <w:rPr>
          <w:sz w:val="24"/>
          <w:szCs w:val="24"/>
          <w:color w:val="auto"/>
        </w:rPr>
      </w:pPr>
    </w:p>
    <w:tbl>
      <w:tblPr>
        <w:tblLayout w:type="fixed"/>
        <w:tblInd w:w="20" w:type="dxa"/>
        <w:tblCellMar>
          <w:top w:w="0" w:type="dxa"/>
          <w:left w:w="0" w:type="dxa"/>
          <w:bottom w:w="0" w:type="dxa"/>
          <w:right w:w="0" w:type="dxa"/>
        </w:tblCellMar>
      </w:tblPr>
      <w:tr>
        <w:trPr>
          <w:trHeight w:val="269"/>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240" w:type="dxa"/>
            <w:vAlign w:val="bottom"/>
          </w:tcPr>
          <w:p>
            <w:pPr>
              <w:ind w:left="78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Accelerated filer</w:t>
            </w:r>
          </w:p>
        </w:tc>
        <w:tc>
          <w:tcPr>
            <w:tcW w:w="780" w:type="dxa"/>
            <w:vAlign w:val="bottom"/>
          </w:tcPr>
          <w:p>
            <w:pPr>
              <w:ind w:left="6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240" w:type="dxa"/>
            <w:vAlign w:val="bottom"/>
          </w:tcPr>
          <w:p>
            <w:pPr>
              <w:ind w:left="78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780" w:type="dxa"/>
            <w:vAlign w:val="bottom"/>
          </w:tcPr>
          <w:p>
            <w:pPr>
              <w:ind w:left="6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23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82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Emerging growth company</w:t>
            </w:r>
          </w:p>
        </w:tc>
        <w:tc>
          <w:tcPr>
            <w:tcW w:w="780" w:type="dxa"/>
            <w:vAlign w:val="bottom"/>
          </w:tcPr>
          <w:p>
            <w:pPr>
              <w:ind w:left="6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43" w:lineRule="exact"/>
        <w:rPr>
          <w:sz w:val="24"/>
          <w:szCs w:val="24"/>
          <w:color w:val="auto"/>
        </w:rPr>
      </w:pPr>
    </w:p>
    <w:p>
      <w:pPr>
        <w:ind w:right="20" w:firstLine="509"/>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left="520"/>
        <w:spacing w:after="0" w:line="196" w:lineRule="exact"/>
        <w:tabs>
          <w:tab w:leader="none" w:pos="8960" w:val="left"/>
        </w:tabs>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89" w:lineRule="exact"/>
        <w:rPr>
          <w:sz w:val="24"/>
          <w:szCs w:val="24"/>
          <w:color w:val="auto"/>
        </w:rPr>
      </w:pPr>
    </w:p>
    <w:p>
      <w:pPr>
        <w:ind w:right="40" w:firstLine="509"/>
        <w:spacing w:after="0" w:line="22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As of May 8, 2023, the registrant had 45,775,461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494030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9300" w:type="dxa"/>
            <w:vAlign w:val="bottom"/>
            <w:gridSpan w:val="17"/>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Balance Sheets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Statements of Operations and Comprehensive Loss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2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Statements of Stockholders’ Equity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2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Statements of Cash Flows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20" w:type="dxa"/>
            <w:vAlign w:val="bottom"/>
            <w:tcBorders>
              <w:right w:val="single" w:sz="8" w:color="0000EE"/>
            </w:tcBorders>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Unaudited Condensed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960" w:type="dxa"/>
            <w:vAlign w:val="bottom"/>
            <w:tcBorders>
              <w:left w:val="single" w:sz="8" w:color="0000FF"/>
            </w:tcBorders>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vMerge w:val="continue"/>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3"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on Form 10-Q,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Quarterly Report on Form 10-Q include, but are not limited to, statements about:</w:t>
      </w:r>
    </w:p>
    <w:p>
      <w:pPr>
        <w:spacing w:after="0" w:line="80"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cash equivalents and short-term marketable securities to fund our future operating expenses and capital expenditure requirements;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funding before we can expect to generate any revenues from product sales;</w:t>
      </w:r>
    </w:p>
    <w:p>
      <w:pPr>
        <w:spacing w:after="0" w:line="117"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for our operations, when needed, including funding necessary to complete further development and commercialization of our product candidates, if approved;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and our ability to maximize those opportunities;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research and development programs, preclinical studies, clinical trials and investigational new drug applications, or IND, and other regulatory submissions;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for each of our programs including patients expected to have certain p53 mutations and the number of patients that will enroll in our clinical trials;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safety and efficacy of our product candidates, and other favorable results;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clinical development of our product candidates, including the disease areas to be evaluated;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focus of our clinical trials, and the reporting of data from those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our existing and any potential future strategic collaborations with third parties and our ability to attract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900" w:right="20" w:hanging="383"/>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including our expectation to seek accelerated reviews or special designations, such as breakthrough therapy and orphan drug designation, for our product candidates, including our intention to seek accelerated approval for PC14586, our lead product candidate;</w:t>
      </w:r>
    </w:p>
    <w:p>
      <w:pPr>
        <w:spacing w:after="0" w:line="6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our product candidates, including for additional indications that we may pursue;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rely on third parties to conduct and support preclinical and clinical development;</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7" w:right="399" w:bottom="1440" w:gutter="0" w:footer="0" w:header="0"/>
        </w:sectPr>
      </w:pPr>
    </w:p>
    <w:bookmarkStart w:id="3" w:name="page4"/>
    <w:bookmarkEnd w:id="3"/>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personnel and to identify, hire and then retain additional qualified personnel; and</w:t>
      </w:r>
    </w:p>
    <w:p>
      <w:pPr>
        <w:spacing w:after="0" w:line="117" w:lineRule="exact"/>
        <w:rPr>
          <w:rFonts w:ascii="Times New Roman" w:cs="Times New Roman" w:eastAsia="Times New Roman" w:hAnsi="Times New Roman"/>
          <w:sz w:val="18"/>
          <w:szCs w:val="18"/>
          <w:color w:val="auto"/>
        </w:rPr>
      </w:pPr>
    </w:p>
    <w:p>
      <w:pPr>
        <w:ind w:left="900" w:right="220" w:hanging="383"/>
        <w:spacing w:after="0" w:line="266"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geopolitical tensions such as the Ukraine-Russia war, macroeconomic events such as global supply chain challenges, elevated inflation and interest rates and monetary policy changes, or other potential global disruptions on our business.</w:t>
      </w:r>
    </w:p>
    <w:p>
      <w:pPr>
        <w:spacing w:after="0" w:line="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“Item 1A. Risk Factors” and elsewhere in our Annual Report on Form 10-K for the year ended December 31, 2022, filed with the United States Securities and Exchange Commission on March 1, 2023, as well as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8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Financial Statements (Unaudited).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4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7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212"/>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6"/>
                <w:szCs w:val="16"/>
                <w:color w:val="auto"/>
              </w:rPr>
            </w:pPr>
          </w:p>
        </w:tc>
        <w:tc>
          <w:tcPr>
            <w:tcW w:w="134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142,942</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6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86,492</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233,278</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253,960</w:t>
            </w:r>
          </w:p>
        </w:tc>
        <w:tc>
          <w:tcPr>
            <w:tcW w:w="2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13,197</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23,787</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$0.00001 par value, 5,000,000 shares authorized at March 31, 2023 and December 31,</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2022. No shares issued or outstanding at March 31, 2023 and December 31, 2022.</w:t>
            </w:r>
          </w:p>
        </w:tc>
        <w:tc>
          <w:tcPr>
            <w:tcW w:w="26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$0.00001 par value, 1,000,000,000 shares authorized; 45,774,761 and</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45,771,332 shares issued and outstanding at March 31, 2023 and December 31, 2022, respectively.</w:t>
            </w:r>
          </w:p>
        </w:tc>
        <w:tc>
          <w:tcPr>
            <w:tcW w:w="2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490,460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(260,171 )</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(241,043 )</w:t>
            </w:r>
          </w:p>
        </w:tc>
        <w:tc>
          <w:tcPr>
            <w:tcW w:w="0" w:type="dxa"/>
            <w:vAlign w:val="bottom"/>
          </w:tcPr>
          <w:p>
            <w:pPr>
              <w:spacing w:after="0"/>
              <w:rPr>
                <w:sz w:val="1"/>
                <w:szCs w:val="1"/>
                <w:color w:val="auto"/>
              </w:rPr>
            </w:pPr>
          </w:p>
        </w:tc>
      </w:tr>
      <w:tr>
        <w:trPr>
          <w:trHeight w:val="239"/>
        </w:trPr>
        <w:tc>
          <w:tcPr>
            <w:tcW w:w="7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(116 )</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(445 )</w:t>
            </w:r>
          </w:p>
        </w:tc>
        <w:tc>
          <w:tcPr>
            <w:tcW w:w="0" w:type="dxa"/>
            <w:vAlign w:val="bottom"/>
          </w:tcPr>
          <w:p>
            <w:pPr>
              <w:spacing w:after="0"/>
              <w:rPr>
                <w:sz w:val="1"/>
                <w:szCs w:val="1"/>
                <w:color w:val="auto"/>
              </w:rPr>
            </w:pPr>
          </w:p>
        </w:tc>
      </w:tr>
      <w:tr>
        <w:trPr>
          <w:trHeight w:val="237"/>
        </w:trPr>
        <w:tc>
          <w:tcPr>
            <w:tcW w:w="78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230,173</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246,028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253,960</w:t>
            </w:r>
          </w:p>
        </w:tc>
        <w:tc>
          <w:tcPr>
            <w:tcW w:w="2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-2999740</wp:posOffset>
            </wp:positionV>
            <wp:extent cx="6858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-2999740</wp:posOffset>
            </wp:positionV>
            <wp:extent cx="6858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-2039620</wp:posOffset>
            </wp:positionV>
            <wp:extent cx="6858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-1722120</wp:posOffset>
            </wp:positionV>
            <wp:extent cx="685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-187960</wp:posOffset>
            </wp:positionV>
            <wp:extent cx="6858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15,073</w:t>
            </w:r>
          </w:p>
        </w:tc>
        <w:tc>
          <w:tcPr>
            <w:tcW w:w="3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11,836</w:t>
            </w:r>
          </w:p>
        </w:tc>
        <w:tc>
          <w:tcPr>
            <w:tcW w:w="100" w:type="dxa"/>
            <w:vAlign w:val="bottom"/>
          </w:tcPr>
          <w:p>
            <w:pPr>
              <w:spacing w:after="0"/>
              <w:rPr>
                <w:sz w:val="20"/>
                <w:szCs w:val="20"/>
                <w:color w:val="auto"/>
              </w:rPr>
            </w:pPr>
          </w:p>
        </w:tc>
      </w:tr>
      <w:tr>
        <w:trPr>
          <w:trHeight w:val="24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21,480</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18,619</w:t>
            </w:r>
          </w:p>
        </w:tc>
        <w:tc>
          <w:tcPr>
            <w:tcW w:w="100" w:type="dxa"/>
            <w:vAlign w:val="bottom"/>
          </w:tcPr>
          <w:p>
            <w:pPr>
              <w:spacing w:after="0"/>
              <w:rPr>
                <w:sz w:val="20"/>
                <w:szCs w:val="20"/>
                <w:color w:val="auto"/>
              </w:rPr>
            </w:pPr>
          </w:p>
        </w:tc>
      </w:tr>
      <w:tr>
        <w:trPr>
          <w:trHeight w:val="23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(21,480</w:t>
            </w:r>
          </w:p>
        </w:tc>
        <w:tc>
          <w:tcPr>
            <w:tcW w:w="30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before (benefit) provision for income taxes</w:t>
            </w:r>
          </w:p>
        </w:tc>
        <w:tc>
          <w:tcPr>
            <w:tcW w:w="380" w:type="dxa"/>
            <w:vAlign w:val="bottom"/>
          </w:tcPr>
          <w:p>
            <w:pPr>
              <w:spacing w:after="0"/>
              <w:rPr>
                <w:sz w:val="20"/>
                <w:szCs w:val="20"/>
                <w:color w:val="auto"/>
              </w:rPr>
            </w:pP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(19,128 )</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(18,431 )</w:t>
            </w:r>
          </w:p>
        </w:tc>
      </w:tr>
      <w:tr>
        <w:trPr>
          <w:trHeight w:val="24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spacing w:after="0"/>
              <w:rPr>
                <w:sz w:val="20"/>
                <w:szCs w:val="20"/>
                <w:color w:val="auto"/>
              </w:rPr>
            </w:pP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(19,128 )</w:t>
            </w:r>
          </w:p>
        </w:tc>
        <w:tc>
          <w:tcPr>
            <w:tcW w:w="3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(18,433 )</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Unrealized gain (loss) on available for sale investments, net of tax</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(588 )</w:t>
            </w: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Comprehensive loss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(18,799 )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(19,021 )</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spacing w:after="0"/>
              <w:rPr>
                <w:sz w:val="19"/>
                <w:szCs w:val="19"/>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(0.42 )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(0.41 )</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45,773,357</w:t>
            </w:r>
          </w:p>
        </w:tc>
        <w:tc>
          <w:tcPr>
            <w:tcW w:w="3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45,466,044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-2287905</wp:posOffset>
            </wp:positionV>
            <wp:extent cx="7683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-2287905</wp:posOffset>
            </wp:positionV>
            <wp:extent cx="685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-1336675</wp:posOffset>
            </wp:positionV>
            <wp:extent cx="76835"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-1019810</wp:posOffset>
            </wp:positionV>
            <wp:extent cx="7683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-702310</wp:posOffset>
            </wp:positionV>
            <wp:extent cx="76835"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768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tcPr>
          <w:p>
            <w:pPr>
              <w:jc w:val="center"/>
              <w:ind w:right="139"/>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center"/>
              <w:ind w:right="339"/>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3"/>
            <w:vMerge w:val="restart"/>
          </w:tcPr>
          <w:p>
            <w:pPr>
              <w:jc w:val="right"/>
              <w:ind w:right="346"/>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45"/>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220" w:type="dxa"/>
            <w:vAlign w:val="bottom"/>
          </w:tcPr>
          <w:p>
            <w:pPr>
              <w:spacing w:after="0"/>
              <w:rPr>
                <w:sz w:val="11"/>
                <w:szCs w:val="11"/>
                <w:color w:val="auto"/>
              </w:rPr>
            </w:pPr>
          </w:p>
        </w:tc>
        <w:tc>
          <w:tcPr>
            <w:tcW w:w="1080" w:type="dxa"/>
            <w:vAlign w:val="bottom"/>
            <w:gridSpan w:val="3"/>
          </w:tcPr>
          <w:p>
            <w:pPr>
              <w:jc w:val="center"/>
              <w:ind w:right="139"/>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5"/>
        </w:trPr>
        <w:tc>
          <w:tcPr>
            <w:tcW w:w="46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319"/>
              <w:spacing w:after="0"/>
              <w:rPr>
                <w:sz w:val="20"/>
                <w:szCs w:val="20"/>
                <w:color w:val="auto"/>
              </w:rPr>
            </w:pPr>
            <w:r>
              <w:rPr>
                <w:rFonts w:ascii="Times New Roman" w:cs="Times New Roman" w:eastAsia="Times New Roman" w:hAnsi="Times New Roman"/>
                <w:sz w:val="13"/>
                <w:szCs w:val="13"/>
                <w:b w:val="1"/>
                <w:bCs w:val="1"/>
                <w:color w:val="auto"/>
              </w:rPr>
              <w:t>e</w:t>
            </w:r>
          </w:p>
        </w:tc>
        <w:tc>
          <w:tcPr>
            <w:tcW w:w="1080" w:type="dxa"/>
            <w:vAlign w:val="bottom"/>
            <w:gridSpan w:val="3"/>
          </w:tcPr>
          <w:p>
            <w:pPr>
              <w:jc w:val="center"/>
              <w:ind w:right="139"/>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56"/>
        </w:trPr>
        <w:tc>
          <w:tcPr>
            <w:tcW w:w="46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22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339"/>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80" w:type="dxa"/>
            <w:vAlign w:val="bottom"/>
          </w:tcPr>
          <w:p>
            <w:pPr>
              <w:spacing w:after="0"/>
              <w:rPr>
                <w:sz w:val="13"/>
                <w:szCs w:val="13"/>
                <w:color w:val="auto"/>
              </w:rPr>
            </w:pPr>
          </w:p>
        </w:tc>
        <w:tc>
          <w:tcPr>
            <w:tcW w:w="900" w:type="dxa"/>
            <w:vAlign w:val="bottom"/>
            <w:gridSpan w:val="2"/>
          </w:tcPr>
          <w:p>
            <w:pPr>
              <w:jc w:val="center"/>
              <w:ind w:right="339"/>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80" w:type="dxa"/>
            <w:vAlign w:val="bottom"/>
          </w:tcPr>
          <w:p>
            <w:pPr>
              <w:spacing w:after="0"/>
              <w:rPr>
                <w:sz w:val="13"/>
                <w:szCs w:val="13"/>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23"/>
        </w:trPr>
        <w:tc>
          <w:tcPr>
            <w:tcW w:w="462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120" w:type="dxa"/>
            <w:vAlign w:val="bottom"/>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45,433,684</w:t>
            </w:r>
          </w:p>
        </w:tc>
        <w:tc>
          <w:tcPr>
            <w:tcW w:w="240" w:type="dxa"/>
            <w:vAlign w:val="bottom"/>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66"/>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476,363</w:t>
            </w:r>
          </w:p>
        </w:tc>
        <w:tc>
          <w:tcPr>
            <w:tcW w:w="2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(167,726</w:t>
            </w:r>
          </w:p>
        </w:tc>
        <w:tc>
          <w:tcPr>
            <w:tcW w:w="2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308,559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98,708</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2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(18,433 )</w:t>
            </w:r>
          </w:p>
        </w:tc>
        <w:tc>
          <w:tcPr>
            <w:tcW w:w="1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(18,433 )</w:t>
            </w:r>
          </w:p>
        </w:tc>
        <w:tc>
          <w:tcPr>
            <w:tcW w:w="0" w:type="dxa"/>
            <w:vAlign w:val="bottom"/>
          </w:tcPr>
          <w:p>
            <w:pPr>
              <w:spacing w:after="0"/>
              <w:rPr>
                <w:sz w:val="1"/>
                <w:szCs w:val="1"/>
                <w:color w:val="auto"/>
              </w:rPr>
            </w:pPr>
          </w:p>
        </w:tc>
      </w:tr>
      <w:tr>
        <w:trPr>
          <w:trHeight w:val="236"/>
        </w:trPr>
        <w:tc>
          <w:tcPr>
            <w:tcW w:w="462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Unrealized loss on available for sale investments</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(588 )</w:t>
            </w: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(588 )</w:t>
            </w:r>
          </w:p>
        </w:tc>
        <w:tc>
          <w:tcPr>
            <w:tcW w:w="0" w:type="dxa"/>
            <w:vAlign w:val="bottom"/>
          </w:tcPr>
          <w:p>
            <w:pPr>
              <w:spacing w:after="0"/>
              <w:rPr>
                <w:sz w:val="1"/>
                <w:szCs w:val="1"/>
                <w:color w:val="auto"/>
              </w:rPr>
            </w:pPr>
          </w:p>
        </w:tc>
      </w:tr>
      <w:tr>
        <w:trPr>
          <w:trHeight w:val="20"/>
        </w:trPr>
        <w:tc>
          <w:tcPr>
            <w:tcW w:w="462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at March 31, 2022</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45,532,392</w:t>
            </w:r>
          </w:p>
        </w:tc>
        <w:tc>
          <w:tcPr>
            <w:tcW w:w="240" w:type="dxa"/>
            <w:vAlign w:val="bottom"/>
          </w:tcPr>
          <w:p>
            <w:pPr>
              <w:spacing w:after="0"/>
              <w:rPr>
                <w:sz w:val="19"/>
                <w:szCs w:val="19"/>
                <w:color w:val="auto"/>
              </w:rPr>
            </w:pPr>
          </w:p>
        </w:tc>
        <w:tc>
          <w:tcPr>
            <w:tcW w:w="640" w:type="dxa"/>
            <w:vAlign w:val="bottom"/>
          </w:tcPr>
          <w:p>
            <w:pPr>
              <w:jc w:val="right"/>
              <w:ind w:right="466"/>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478,668</w:t>
            </w:r>
          </w:p>
        </w:tc>
        <w:tc>
          <w:tcPr>
            <w:tcW w:w="220" w:type="dxa"/>
            <w:vAlign w:val="bottom"/>
          </w:tcPr>
          <w:p>
            <w:pPr>
              <w:spacing w:after="0"/>
              <w:rPr>
                <w:sz w:val="19"/>
                <w:szCs w:val="19"/>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(666 )</w:t>
            </w:r>
          </w:p>
        </w:tc>
        <w:tc>
          <w:tcPr>
            <w:tcW w:w="1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(186,159 )</w:t>
            </w:r>
          </w:p>
        </w:tc>
        <w:tc>
          <w:tcPr>
            <w:tcW w:w="1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291,843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6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3"/>
          </w:tcPr>
          <w:p>
            <w:pPr>
              <w:jc w:val="center"/>
              <w:ind w:right="139"/>
              <w:spacing w:after="0" w:line="123"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2"/>
          </w:tcPr>
          <w:p>
            <w:pPr>
              <w:jc w:val="center"/>
              <w:ind w:right="339"/>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3"/>
            <w:vMerge w:val="restart"/>
          </w:tcPr>
          <w:p>
            <w:pPr>
              <w:jc w:val="right"/>
              <w:ind w:right="346"/>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45"/>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220" w:type="dxa"/>
            <w:vAlign w:val="bottom"/>
          </w:tcPr>
          <w:p>
            <w:pPr>
              <w:spacing w:after="0"/>
              <w:rPr>
                <w:sz w:val="11"/>
                <w:szCs w:val="11"/>
                <w:color w:val="auto"/>
              </w:rPr>
            </w:pPr>
          </w:p>
        </w:tc>
        <w:tc>
          <w:tcPr>
            <w:tcW w:w="1080" w:type="dxa"/>
            <w:vAlign w:val="bottom"/>
            <w:gridSpan w:val="3"/>
          </w:tcPr>
          <w:p>
            <w:pPr>
              <w:jc w:val="center"/>
              <w:ind w:right="139"/>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5"/>
        </w:trPr>
        <w:tc>
          <w:tcPr>
            <w:tcW w:w="46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Borders>
              <w:bottom w:val="single" w:sz="8" w:color="auto"/>
            </w:tcBorders>
            <w:gridSpan w:val="3"/>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319"/>
              <w:spacing w:after="0"/>
              <w:rPr>
                <w:sz w:val="20"/>
                <w:szCs w:val="20"/>
                <w:color w:val="auto"/>
              </w:rPr>
            </w:pPr>
            <w:r>
              <w:rPr>
                <w:rFonts w:ascii="Times New Roman" w:cs="Times New Roman" w:eastAsia="Times New Roman" w:hAnsi="Times New Roman"/>
                <w:sz w:val="13"/>
                <w:szCs w:val="13"/>
                <w:b w:val="1"/>
                <w:bCs w:val="1"/>
                <w:color w:val="auto"/>
              </w:rPr>
              <w:t>e</w:t>
            </w:r>
          </w:p>
        </w:tc>
        <w:tc>
          <w:tcPr>
            <w:tcW w:w="1080" w:type="dxa"/>
            <w:vAlign w:val="bottom"/>
            <w:gridSpan w:val="3"/>
          </w:tcPr>
          <w:p>
            <w:pPr>
              <w:jc w:val="center"/>
              <w:ind w:right="139"/>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155"/>
        </w:trPr>
        <w:tc>
          <w:tcPr>
            <w:tcW w:w="46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22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339"/>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80" w:type="dxa"/>
            <w:vAlign w:val="bottom"/>
          </w:tcPr>
          <w:p>
            <w:pPr>
              <w:spacing w:after="0"/>
              <w:rPr>
                <w:sz w:val="13"/>
                <w:szCs w:val="13"/>
                <w:color w:val="auto"/>
              </w:rPr>
            </w:pPr>
          </w:p>
        </w:tc>
        <w:tc>
          <w:tcPr>
            <w:tcW w:w="900" w:type="dxa"/>
            <w:vAlign w:val="bottom"/>
            <w:gridSpan w:val="2"/>
          </w:tcPr>
          <w:p>
            <w:pPr>
              <w:jc w:val="center"/>
              <w:ind w:right="339"/>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80" w:type="dxa"/>
            <w:vAlign w:val="bottom"/>
          </w:tcPr>
          <w:p>
            <w:pPr>
              <w:spacing w:after="0"/>
              <w:rPr>
                <w:sz w:val="13"/>
                <w:szCs w:val="13"/>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23"/>
        </w:trPr>
        <w:tc>
          <w:tcPr>
            <w:tcW w:w="462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20" w:type="dxa"/>
            <w:vAlign w:val="bottom"/>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45,771,332</w:t>
            </w:r>
          </w:p>
        </w:tc>
        <w:tc>
          <w:tcPr>
            <w:tcW w:w="240" w:type="dxa"/>
            <w:vAlign w:val="bottom"/>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66"/>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487,516</w:t>
            </w:r>
          </w:p>
        </w:tc>
        <w:tc>
          <w:tcPr>
            <w:tcW w:w="2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2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(241,043</w:t>
            </w:r>
          </w:p>
        </w:tc>
        <w:tc>
          <w:tcPr>
            <w:tcW w:w="2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246,028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3,429</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20" w:type="dxa"/>
            <w:vAlign w:val="bottom"/>
            <w:tcBorders>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2,932</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(19,128 )</w:t>
            </w:r>
          </w:p>
        </w:tc>
        <w:tc>
          <w:tcPr>
            <w:tcW w:w="18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(19,128 )</w:t>
            </w:r>
          </w:p>
        </w:tc>
        <w:tc>
          <w:tcPr>
            <w:tcW w:w="0" w:type="dxa"/>
            <w:vAlign w:val="bottom"/>
          </w:tcPr>
          <w:p>
            <w:pPr>
              <w:spacing w:after="0"/>
              <w:rPr>
                <w:sz w:val="1"/>
                <w:szCs w:val="1"/>
                <w:color w:val="auto"/>
              </w:rPr>
            </w:pPr>
          </w:p>
        </w:tc>
      </w:tr>
      <w:tr>
        <w:trPr>
          <w:trHeight w:val="236"/>
        </w:trPr>
        <w:tc>
          <w:tcPr>
            <w:tcW w:w="4620" w:type="dxa"/>
            <w:vAlign w:val="bottom"/>
            <w:tcBorders>
              <w:bottom w:val="single" w:sz="8" w:color="CFF0FC"/>
              <w:right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Unrealized gain on available for sale investments</w:t>
            </w:r>
          </w:p>
        </w:tc>
        <w:tc>
          <w:tcPr>
            <w:tcW w:w="1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at March 31, 2023</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45,774,761</w:t>
            </w:r>
          </w:p>
        </w:tc>
        <w:tc>
          <w:tcPr>
            <w:tcW w:w="880" w:type="dxa"/>
            <w:vAlign w:val="bottom"/>
            <w:gridSpan w:val="2"/>
          </w:tcPr>
          <w:p>
            <w:pPr>
              <w:jc w:val="right"/>
              <w:ind w:right="466"/>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490,460</w:t>
            </w:r>
          </w:p>
        </w:tc>
        <w:tc>
          <w:tcPr>
            <w:tcW w:w="400" w:type="dxa"/>
            <w:vAlign w:val="bottom"/>
            <w:gridSpan w:val="2"/>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(116 )</w:t>
            </w:r>
          </w:p>
        </w:tc>
        <w:tc>
          <w:tcPr>
            <w:tcW w:w="1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(260,171 )</w:t>
            </w:r>
          </w:p>
        </w:tc>
        <w:tc>
          <w:tcPr>
            <w:tcW w:w="1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-1568450</wp:posOffset>
            </wp:positionV>
            <wp:extent cx="76835"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-1568450</wp:posOffset>
            </wp:positionV>
            <wp:extent cx="77470"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-1568450</wp:posOffset>
            </wp:positionV>
            <wp:extent cx="68580"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-1568450</wp:posOffset>
            </wp:positionV>
            <wp:extent cx="68580"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-1568450</wp:posOffset>
            </wp:positionV>
            <wp:extent cx="68580"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-1568450</wp:posOffset>
            </wp:positionV>
            <wp:extent cx="68580"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-179705</wp:posOffset>
            </wp:positionV>
            <wp:extent cx="76835"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-179705</wp:posOffset>
            </wp:positionV>
            <wp:extent cx="77470" cy="1803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-179705</wp:posOffset>
            </wp:positionV>
            <wp:extent cx="68580"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-179705</wp:posOffset>
            </wp:positionV>
            <wp:extent cx="68580" cy="180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-179705</wp:posOffset>
            </wp:positionV>
            <wp:extent cx="68580" cy="180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(19,128 )</w:t>
            </w: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(18,433 )</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(Accretion) amortization of premiums on marketable securities</w:t>
            </w:r>
          </w:p>
        </w:tc>
        <w:tc>
          <w:tcPr>
            <w:tcW w:w="9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(712 )</w:t>
            </w:r>
          </w:p>
        </w:tc>
        <w:tc>
          <w:tcPr>
            <w:tcW w:w="9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lease (income) expense</w:t>
            </w:r>
          </w:p>
        </w:tc>
        <w:tc>
          <w:tcPr>
            <w:tcW w:w="9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(89 )</w:t>
            </w:r>
          </w:p>
        </w:tc>
        <w:tc>
          <w:tcPr>
            <w:tcW w:w="9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9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(1 )</w:t>
            </w:r>
          </w:p>
        </w:tc>
        <w:tc>
          <w:tcPr>
            <w:tcW w:w="920" w:type="dxa"/>
            <w:vAlign w:val="bottom"/>
          </w:tcPr>
          <w:p>
            <w:pPr>
              <w:spacing w:after="0"/>
              <w:rPr>
                <w:sz w:val="20"/>
                <w:szCs w:val="20"/>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(924 )</w:t>
            </w: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right-of-use assets and liabilities</w:t>
            </w:r>
          </w:p>
        </w:tc>
        <w:tc>
          <w:tcPr>
            <w:tcW w:w="9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(1,520 )</w:t>
            </w:r>
          </w:p>
        </w:tc>
        <w:tc>
          <w:tcPr>
            <w:tcW w:w="9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(2,064 )</w:t>
            </w:r>
          </w:p>
        </w:tc>
      </w:tr>
      <w:tr>
        <w:trPr>
          <w:trHeight w:val="20"/>
        </w:trPr>
        <w:tc>
          <w:tcPr>
            <w:tcW w:w="77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(15,012 )</w:t>
            </w:r>
          </w:p>
        </w:tc>
        <w:tc>
          <w:tcPr>
            <w:tcW w:w="9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(17,998 )</w:t>
            </w:r>
          </w:p>
        </w:tc>
      </w:tr>
      <w:tr>
        <w:trPr>
          <w:trHeight w:val="23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(156 )</w:t>
            </w:r>
          </w:p>
        </w:tc>
        <w:tc>
          <w:tcPr>
            <w:tcW w:w="9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(796 )</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9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9"/>
              </w:rPr>
              <w:t>(23,502 )</w:t>
            </w:r>
          </w:p>
        </w:tc>
        <w:tc>
          <w:tcPr>
            <w:tcW w:w="92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(93,705 )</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9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73,303</w:t>
            </w:r>
          </w:p>
        </w:tc>
        <w:tc>
          <w:tcPr>
            <w:tcW w:w="3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55,676</w:t>
            </w:r>
          </w:p>
        </w:tc>
        <w:tc>
          <w:tcPr>
            <w:tcW w:w="100" w:type="dxa"/>
            <w:vAlign w:val="bottom"/>
          </w:tcPr>
          <w:p>
            <w:pPr>
              <w:spacing w:after="0"/>
              <w:rPr>
                <w:sz w:val="21"/>
                <w:szCs w:val="21"/>
                <w:color w:val="auto"/>
              </w:rPr>
            </w:pPr>
          </w:p>
        </w:tc>
      </w:tr>
      <w:tr>
        <w:trPr>
          <w:trHeight w:val="236"/>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49,645</w:t>
            </w:r>
          </w:p>
        </w:tc>
        <w:tc>
          <w:tcPr>
            <w:tcW w:w="30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(38,825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the exercise of stock options and common stock issued under the 2020 ESPP</w:t>
            </w:r>
          </w:p>
        </w:tc>
        <w:tc>
          <w:tcPr>
            <w:tcW w:w="9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0"/>
                <w:szCs w:val="20"/>
                <w:color w:val="auto"/>
              </w:rPr>
            </w:pPr>
          </w:p>
        </w:tc>
      </w:tr>
      <w:tr>
        <w:trPr>
          <w:trHeight w:val="237"/>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34,645</w:t>
            </w:r>
          </w:p>
        </w:tc>
        <w:tc>
          <w:tcPr>
            <w:tcW w:w="3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(56,695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41"/>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9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109,119</w:t>
            </w:r>
          </w:p>
        </w:tc>
        <w:tc>
          <w:tcPr>
            <w:tcW w:w="3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173,289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143,764</w:t>
            </w:r>
          </w:p>
        </w:tc>
        <w:tc>
          <w:tcPr>
            <w:tcW w:w="300" w:type="dxa"/>
            <w:vAlign w:val="bottom"/>
          </w:tcPr>
          <w:p>
            <w:pPr>
              <w:spacing w:after="0"/>
              <w:rPr>
                <w:sz w:val="20"/>
                <w:szCs w:val="20"/>
                <w:color w:val="auto"/>
              </w:rPr>
            </w:pPr>
          </w:p>
        </w:tc>
        <w:tc>
          <w:tcPr>
            <w:tcW w:w="92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116,594</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purchases of property and equipment</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300" w:type="dxa"/>
            <w:vAlign w:val="bottom"/>
          </w:tcPr>
          <w:p>
            <w:pPr>
              <w:spacing w:after="0"/>
              <w:rPr>
                <w:sz w:val="20"/>
                <w:szCs w:val="20"/>
                <w:color w:val="auto"/>
              </w:rPr>
            </w:pP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-2702560</wp:posOffset>
            </wp:positionV>
            <wp:extent cx="7683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-2702560</wp:posOffset>
            </wp:positionV>
            <wp:extent cx="6858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-1751330</wp:posOffset>
            </wp:positionV>
            <wp:extent cx="76835"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-1751330</wp:posOffset>
            </wp:positionV>
            <wp:extent cx="6858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-1433830</wp:posOffset>
            </wp:positionV>
            <wp:extent cx="7683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-1433830</wp:posOffset>
            </wp:positionV>
            <wp:extent cx="6858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-799465</wp:posOffset>
            </wp:positionV>
            <wp:extent cx="76835"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-799465</wp:posOffset>
            </wp:positionV>
            <wp:extent cx="68580"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11" w:lineRule="exact"/>
        <w:rPr>
          <w:sz w:val="20"/>
          <w:szCs w:val="20"/>
          <w:color w:val="auto"/>
        </w:rPr>
      </w:pPr>
    </w:p>
    <w:p>
      <w:pPr>
        <w:ind w:left="520" w:right="7980" w:hanging="512"/>
        <w:spacing w:after="0" w:line="400" w:lineRule="auto"/>
        <w:tabs>
          <w:tab w:leader="none" w:pos="191" w:val="left"/>
        </w:tabs>
        <w:numPr>
          <w:ilvl w:val="0"/>
          <w:numId w:val="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Formation and Business of the Company Organization and Liquidity</w:t>
      </w: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PMV Pharmaceuticals, Inc. (the “Company” or “We”) was incorporated in the state of Delaware in March 2013. Since inception, the Company has devoted substantially all of its time and efforts to performing research and development activities and raising capital. We are a precision oncology company pioneering the discovery and development of small molecule, tumor-agnostic therapies targeting p53. The Company’s headquarters are located at One Research Way, Princeton, New Jersey.</w:t>
      </w:r>
    </w:p>
    <w:p>
      <w:pPr>
        <w:spacing w:after="0" w:line="7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8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Company has incurred net losses and negative cash flows from operations since its inception. During the three months ended March 31, 2023, the Company incurred a net loss of $19,128. For the three months ended March 31, 2023, the Company used $15,012 of cash for operations. At March 31, 2023, the Company had an accumulated deficit of $260,171. Cash, cash equivalents, and marketable securities were $229,434 as of March 31, 2023. Management expects to incur substantial additional operating losses for the next several years and may need to obtain additional debt or equity financings in order to complete development of its products, obtain regulatory approvals, launch and commercialize its products and continue research and development programs. The Company believes it has adequate cash, cash equivalents, and marketable securities to operate for at least the next 12 months from the date of issuance of these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Summary of Significant Accounting Policies</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the audited financial statements for the year ended December 31, 2022, included in the Company’s Annual Report on Form 10-K filed with the United States Securities and Exchange Commission (the “SEC”) on March 1, 2023. Since the date of those financial statements, there have been no changes to its significant accounting policies.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accounting principles generally accepted in the United States (“GAAP”) for interim financial information and with the interim period reporting requirements of Form 10-Q and Article 10 of Regulation S-X. The condensed balance sheet as of March 31, 2023, the condensed statements of operations and comprehensive loss, condensed statements of stockholders’ equity and the condensed statements of cash flows for the three months ended March 31, 2023 and 2022 are unaudited, but, in the opinion of management, include all adjustments, consisting only of normal recurring adjustments, which we consider necessary for a fair presentation of the financial position, operating results and cash flows for the periods presented. The results for any interim period are not necessarily indicative of results for the year ending December 31, 2023, or for any other subsequent interim period. The condensed balance sheet as of December 31, 2022, has been derived from our audited financial statements.</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 are not limited to, research and development costs, accrued research and development costs and related prepaid expenses and stock-based compensation. Actual results could differ materially from those estimates.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Management considers all highly liquid investments with original maturities of three months or less to be cash equivalents.</w:t>
      </w:r>
    </w:p>
    <w:p>
      <w:pPr>
        <w:spacing w:after="0" w:line="11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Company’s marketable debt securities have been classified and accounted for as available-for-sale. The Company classifies its marketable debt securities as either short-term or long-term based on each instrument’s underlying contractual maturity date. Marketable debt securities with maturities of 12 months or less are classified as short-term and marketable debt securities with maturities greater than 12 months are classified as long-term. The Company’s marketable debt securities are carried at fair value, with unrealized gains and losses, net of taxes, reported as a component of accumulated other comprehensive loss in stockholders’ equity. Premiums and discounts on marketable debt securities are amortized into earnings over the life of the security and recorded on the interest income, net line of the income statement. For the three months ended March 31, 2023 and 2022, the Company recorded $712 of accretion and $54 of amortization, respectively.</w:t>
      </w:r>
    </w:p>
    <w:p>
      <w:pPr>
        <w:spacing w:after="0" w:line="8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Restricted cash as of March 31, 2023 and December 31, 2022 included a $822 deposit at the Company’s commercial bank underlying a stand-by letter of credit issued in favor of a landlord (See Note 6) and is classified in current assets.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Company presents comprehensive loss in a single statement within its financial statements. Other comprehensive loss consists of unrealized gains and losses on marketable securities, net of tax.</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31F20"/>
        </w:rPr>
        <w:t>Leases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circumstances present. The Company accounts for a contract as a lease when it has the right to control the asset for a period of time while obtaining substantially all of the asset’s economic benefits. The Company determines the initial classification and measurement of its operating right-of-use (“ROU”) assets and operating lease liabilities at the lease commencement date, and thereafter if modified. The lease term includes any renewal options that the Company is reasonably certain to exercise. The Company’s policy is to not record leases with a lease term of 12 months or less on its balance sheets. The Company’s only existing leases are for office and laboratory space.</w:t>
      </w:r>
    </w:p>
    <w:p>
      <w:pPr>
        <w:spacing w:after="0" w:line="7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ROU asset represents the right to use the leased asset for the lease term. The lease liability represents the present value of the lease payments under the lease. The present value of lease payments is determined by using the interest rate implicit in the lease, if that rate is readily determinable; otherwise, the Company uses its estimated secured incremental borrowing rate for that lease term.</w:t>
      </w:r>
    </w:p>
    <w:p>
      <w:pPr>
        <w:spacing w:after="0" w:line="6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reasonably assured lease term based on the total lease payments and is included in operating expense in the statements of operations.</w:t>
      </w:r>
    </w:p>
    <w:p>
      <w:pPr>
        <w:spacing w:after="0" w:line="54" w:lineRule="exact"/>
        <w:rPr>
          <w:sz w:val="20"/>
          <w:szCs w:val="20"/>
          <w:color w:val="auto"/>
        </w:rPr>
      </w:pPr>
    </w:p>
    <w:p>
      <w:pPr>
        <w:ind w:right="220" w:firstLine="509"/>
        <w:spacing w:after="0" w:line="289" w:lineRule="auto"/>
        <w:rPr>
          <w:sz w:val="20"/>
          <w:szCs w:val="20"/>
          <w:color w:val="auto"/>
        </w:rPr>
      </w:pPr>
      <w:r>
        <w:rPr>
          <w:rFonts w:ascii="Times New Roman" w:cs="Times New Roman" w:eastAsia="Times New Roman" w:hAnsi="Times New Roman"/>
          <w:sz w:val="17"/>
          <w:szCs w:val="17"/>
          <w:color w:val="auto"/>
        </w:rPr>
        <w:t>Payments due under each lease agreement include fixed and variable payments. Variable payments relate to the Company’s share of the lessor’s operating costs associated with the underlying asset and are recognized when the event on which those payments are assessed occurs. Variable payments have been excluded from the lease liability and associated right-of-use asset. Neither of the Company’s leases contain residual value guarantees.</w:t>
      </w:r>
    </w:p>
    <w:p>
      <w:pPr>
        <w:spacing w:after="0" w:line="5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interest rate implicit in lease agreements is typically not readily determinable, and as such, the Company utilizes the incremental borrowing rate to calculate lease liabilities, which is the rate incurred to borrow on a collateralized basis over a similar term an amount equal to the lease payments in a similar economic environment.</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of cash, cash equivalents, and marketable securities. Cash and cash equivalents were held at two financial institutions. At times, such deposits may be in excess of insured limits. The Company has not experienced any losses on its deposits of cash and cash equivalents. The Company’s marketable securities are carried at fair value and include any unrealized gains and losses. Any investments with unrealized losses are considered to be temporarily impaired.</w:t>
      </w:r>
    </w:p>
    <w:p>
      <w:pPr>
        <w:spacing w:after="0" w:line="7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rapid technological change, uncertainty of market acceptance of the product, competition from substitute products and larger companies, protection of proprietary technology, any future strategic relationships and dependence on key individuals.</w:t>
      </w:r>
    </w:p>
    <w:p>
      <w:pPr>
        <w:spacing w:after="0" w:line="5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Products developed by the Company require clearances from the U.S. Food and Drug Administration or other international regulatory agencies prior to commercial sales. There can be no assurance the Company’s product candidates will receive the necessary clearances. If the Company is denied clearance, clearance is delayed or it is unable to maintain clearance, it could have a materially adverse impact on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Fair Value Measurements</w:t>
      </w:r>
    </w:p>
    <w:p>
      <w:pPr>
        <w:spacing w:after="0" w:line="121" w:lineRule="exact"/>
        <w:rPr>
          <w:sz w:val="20"/>
          <w:szCs w:val="20"/>
          <w:color w:val="auto"/>
        </w:rPr>
      </w:pPr>
    </w:p>
    <w:p>
      <w:pPr>
        <w:ind w:right="100" w:firstLine="509"/>
        <w:spacing w:after="0" w:line="312" w:lineRule="auto"/>
        <w:rPr>
          <w:sz w:val="20"/>
          <w:szCs w:val="20"/>
          <w:color w:val="auto"/>
        </w:rPr>
      </w:pPr>
      <w:r>
        <w:rPr>
          <w:rFonts w:ascii="Times New Roman" w:cs="Times New Roman" w:eastAsia="Times New Roman" w:hAnsi="Times New Roman"/>
          <w:sz w:val="17"/>
          <w:szCs w:val="17"/>
          <w:color w:val="auto"/>
        </w:rPr>
        <w:t>The Company’s financial assets consist of money market funds, U.S. government debt securities and corporate debt securities. The following tables show the Company’s cash equivalents and available-for-sale securities’ carrying amounts and fair values as of March 31, 2023, and December 31, 2022: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March 31, 2023</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Quoted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restart"/>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4"/>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priced in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040" w:type="dxa"/>
            <w:vAlign w:val="bottom"/>
            <w:gridSpan w:val="2"/>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 w:type="dxa"/>
            <w:vAlign w:val="bottom"/>
          </w:tcPr>
          <w:p>
            <w:pPr>
              <w:spacing w:after="0"/>
              <w:rPr>
                <w:sz w:val="16"/>
                <w:szCs w:val="16"/>
                <w:color w:val="auto"/>
              </w:rPr>
            </w:pPr>
          </w:p>
        </w:tc>
        <w:tc>
          <w:tcPr>
            <w:tcW w:w="9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w w:val="98"/>
              </w:rPr>
              <w:t>Financial assets</w:t>
            </w:r>
          </w:p>
        </w:tc>
        <w:tc>
          <w:tcPr>
            <w:tcW w:w="19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CFF0FC"/>
            </w:tcBorders>
            <w:shd w:val="clear" w:color="auto" w:fill="CFF0FC"/>
          </w:tcPr>
          <w:p>
            <w:pPr>
              <w:spacing w:after="0"/>
              <w:rPr>
                <w:sz w:val="18"/>
                <w:szCs w:val="18"/>
                <w:color w:val="auto"/>
              </w:rPr>
            </w:pPr>
          </w:p>
        </w:tc>
        <w:tc>
          <w:tcPr>
            <w:tcW w:w="20" w:type="dxa"/>
            <w:vAlign w:val="bottom"/>
            <w:tcBorders>
              <w:top w:val="single" w:sz="8" w:color="auto"/>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136,888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136,888</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136,888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67,134</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center"/>
              <w:ind w:left="156"/>
              <w:spacing w:after="0"/>
              <w:rPr>
                <w:sz w:val="20"/>
                <w:szCs w:val="20"/>
                <w:color w:val="auto"/>
              </w:rPr>
            </w:pPr>
            <w:r>
              <w:rPr>
                <w:rFonts w:ascii="Times New Roman" w:cs="Times New Roman" w:eastAsia="Times New Roman" w:hAnsi="Times New Roman"/>
                <w:sz w:val="18"/>
                <w:szCs w:val="18"/>
                <w:color w:val="auto"/>
                <w:w w:val="96"/>
              </w:rPr>
              <w:t>67,086</w:t>
            </w: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67,086</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Government securities</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19,474</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center"/>
              <w:ind w:left="156"/>
              <w:spacing w:after="0"/>
              <w:rPr>
                <w:sz w:val="20"/>
                <w:szCs w:val="20"/>
                <w:color w:val="auto"/>
              </w:rPr>
            </w:pPr>
            <w:r>
              <w:rPr>
                <w:rFonts w:ascii="Times New Roman" w:cs="Times New Roman" w:eastAsia="Times New Roman" w:hAnsi="Times New Roman"/>
                <w:sz w:val="18"/>
                <w:szCs w:val="18"/>
                <w:color w:val="auto"/>
                <w:w w:val="96"/>
              </w:rPr>
              <w:t>19,406</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Borders>
              <w:bottom w:val="single" w:sz="8" w:color="CFF0FC"/>
            </w:tcBorders>
            <w:shd w:val="clear" w:color="auto" w:fill="CFF0FC"/>
          </w:tcPr>
          <w:p>
            <w:pPr>
              <w:spacing w:after="0"/>
              <w:rPr>
                <w:sz w:val="23"/>
                <w:szCs w:val="23"/>
                <w:color w:val="auto"/>
              </w:rPr>
            </w:pPr>
          </w:p>
        </w:tc>
        <w:tc>
          <w:tcPr>
            <w:tcW w:w="310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223,496</w:t>
            </w:r>
          </w:p>
        </w:tc>
        <w:tc>
          <w:tcPr>
            <w:tcW w:w="2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223,380</w:t>
            </w:r>
          </w:p>
        </w:tc>
        <w:tc>
          <w:tcPr>
            <w:tcW w:w="4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150,568</w:t>
            </w:r>
          </w:p>
        </w:tc>
        <w:tc>
          <w:tcPr>
            <w:tcW w:w="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72,812</w:t>
            </w:r>
          </w:p>
        </w:tc>
        <w:tc>
          <w:tcPr>
            <w:tcW w:w="10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FF0FC"/>
          </w:tcPr>
          <w:p>
            <w:pPr>
              <w:spacing w:after="0"/>
              <w:rPr>
                <w:sz w:val="23"/>
                <w:szCs w:val="23"/>
                <w:color w:val="auto"/>
              </w:rPr>
            </w:pP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10"/>
          </w:tcPr>
          <w:p>
            <w:pPr>
              <w:jc w:val="center"/>
              <w:ind w:left="658"/>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Quoted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restart"/>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Priced in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w w:val="98"/>
              </w:rPr>
              <w:t>Financial assets</w:t>
            </w:r>
          </w:p>
        </w:tc>
        <w:tc>
          <w:tcPr>
            <w:tcW w:w="19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CFF0FC"/>
            </w:tcBorders>
            <w:shd w:val="clear" w:color="auto" w:fill="CFF0FC"/>
          </w:tcPr>
          <w:p>
            <w:pPr>
              <w:spacing w:after="0"/>
              <w:rPr>
                <w:sz w:val="18"/>
                <w:szCs w:val="18"/>
                <w:color w:val="auto"/>
              </w:rPr>
            </w:pPr>
          </w:p>
        </w:tc>
        <w:tc>
          <w:tcPr>
            <w:tcW w:w="40" w:type="dxa"/>
            <w:vAlign w:val="bottom"/>
            <w:tcBorders>
              <w:top w:val="single" w:sz="8" w:color="auto"/>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CFF0FC"/>
            </w:tcBorders>
            <w:shd w:val="clear" w:color="auto" w:fill="CFF0FC"/>
          </w:tcPr>
          <w:p>
            <w:pPr>
              <w:spacing w:after="0"/>
              <w:rPr>
                <w:sz w:val="18"/>
                <w:szCs w:val="18"/>
                <w:color w:val="auto"/>
              </w:rPr>
            </w:pPr>
          </w:p>
        </w:tc>
        <w:tc>
          <w:tcPr>
            <w:tcW w:w="40" w:type="dxa"/>
            <w:vAlign w:val="bottom"/>
            <w:tcBorders>
              <w:top w:val="single" w:sz="8" w:color="auto"/>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106,861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center"/>
              <w:ind w:left="96"/>
              <w:spacing w:after="0"/>
              <w:rPr>
                <w:sz w:val="20"/>
                <w:szCs w:val="20"/>
                <w:color w:val="auto"/>
              </w:rPr>
            </w:pPr>
            <w:r>
              <w:rPr>
                <w:rFonts w:ascii="Times New Roman" w:cs="Times New Roman" w:eastAsia="Times New Roman" w:hAnsi="Times New Roman"/>
                <w:sz w:val="18"/>
                <w:szCs w:val="18"/>
                <w:color w:val="auto"/>
                <w:w w:val="99"/>
              </w:rPr>
              <w:t>106,861</w:t>
            </w:r>
          </w:p>
        </w:tc>
        <w:tc>
          <w:tcPr>
            <w:tcW w:w="18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106,861</w:t>
            </w:r>
          </w:p>
        </w:tc>
        <w:tc>
          <w:tcPr>
            <w:tcW w:w="1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103,755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21</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center"/>
              <w:ind w:left="96"/>
              <w:spacing w:after="0"/>
              <w:rPr>
                <w:sz w:val="20"/>
                <w:szCs w:val="20"/>
                <w:color w:val="auto"/>
              </w:rPr>
            </w:pPr>
            <w:r>
              <w:rPr>
                <w:rFonts w:ascii="Times New Roman" w:cs="Times New Roman" w:eastAsia="Times New Roman" w:hAnsi="Times New Roman"/>
                <w:sz w:val="18"/>
                <w:szCs w:val="18"/>
                <w:color w:val="auto"/>
                <w:w w:val="99"/>
              </w:rPr>
              <w:t>103,591</w:t>
            </w: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103,591</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Government securities</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6"/>
              </w:rPr>
              <w:t>31,661</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20,981</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10,680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Borders>
              <w:bottom w:val="single" w:sz="8" w:color="CFF0FC"/>
            </w:tcBorders>
            <w:shd w:val="clear" w:color="auto" w:fill="CFF0FC"/>
          </w:tcPr>
          <w:p>
            <w:pPr>
              <w:spacing w:after="0"/>
              <w:rPr>
                <w:sz w:val="24"/>
                <w:szCs w:val="24"/>
                <w:color w:val="auto"/>
              </w:rPr>
            </w:pPr>
          </w:p>
        </w:tc>
        <w:tc>
          <w:tcPr>
            <w:tcW w:w="310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242,558</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21</w:t>
            </w:r>
          </w:p>
        </w:tc>
        <w:tc>
          <w:tcPr>
            <w:tcW w:w="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gridSpan w:val="2"/>
            <w:shd w:val="clear" w:color="auto" w:fill="CFF0FC"/>
          </w:tcPr>
          <w:p>
            <w:pPr>
              <w:jc w:val="center"/>
              <w:ind w:left="116"/>
              <w:spacing w:after="0"/>
              <w:rPr>
                <w:sz w:val="20"/>
                <w:szCs w:val="20"/>
                <w:color w:val="auto"/>
              </w:rPr>
            </w:pPr>
            <w:r>
              <w:rPr>
                <w:rFonts w:ascii="Times New Roman" w:cs="Times New Roman" w:eastAsia="Times New Roman" w:hAnsi="Times New Roman"/>
                <w:sz w:val="18"/>
                <w:szCs w:val="18"/>
                <w:color w:val="auto"/>
                <w:w w:val="95"/>
              </w:rPr>
              <w:t>242,113</w:t>
            </w:r>
          </w:p>
        </w:tc>
        <w:tc>
          <w:tcPr>
            <w:tcW w:w="18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127,842</w:t>
            </w:r>
          </w:p>
        </w:tc>
        <w:tc>
          <w:tcPr>
            <w:tcW w:w="16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114,271</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-1593850</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-1576705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-1593850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-1576705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-1593850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-1576705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-1593850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-1576705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-1593850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-1576705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-1593850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-1576705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-24765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-7620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-24765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-7620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-24765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-24765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ind w:right="26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Equivalents </w:t>
      </w:r>
      <w:r>
        <w:rPr>
          <w:rFonts w:ascii="Times New Roman" w:cs="Times New Roman" w:eastAsia="Times New Roman" w:hAnsi="Times New Roman"/>
          <w:sz w:val="18"/>
          <w:szCs w:val="18"/>
          <w:color w:val="auto"/>
        </w:rPr>
        <w:t>— As of March 31, 2023, the Company had cash of $6,054 and cash equivalents of $136,888. Cash equivalents consisted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money market funds of $136,888. As of December 31, 2022, the Company had cash of $1,436 and cash equivalents of $106,861, consisting of money market funds. Money market funds are classified within level 1 of the fair value hierarchy because they are valued using quoted market prices in active markets, whereas corporate debt securities are classified within level 2 of the fair value hierarchy because they are valued using inputs other than quoted prices that are observable for the asset or liability either directly or indirectly.</w:t>
      </w:r>
    </w:p>
    <w:p>
      <w:pPr>
        <w:spacing w:after="0" w:line="71" w:lineRule="exact"/>
        <w:rPr>
          <w:sz w:val="20"/>
          <w:szCs w:val="20"/>
          <w:color w:val="auto"/>
        </w:rPr>
      </w:pPr>
    </w:p>
    <w:p>
      <w:pPr>
        <w:ind w:right="10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Marketable Securities </w:t>
      </w:r>
      <w:r>
        <w:rPr>
          <w:rFonts w:ascii="Times New Roman" w:cs="Times New Roman" w:eastAsia="Times New Roman" w:hAnsi="Times New Roman"/>
          <w:sz w:val="18"/>
          <w:szCs w:val="18"/>
          <w:color w:val="auto"/>
        </w:rPr>
        <w:t>— Marketable securities of $86,492 as of March 31, 2023, consisted of corporate debt securities of $67,086 and government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debt securities of $19,406. There were $86,492 current marketable securities and no noncurrent marketable securities as of March 31, 2023. Marketable securities of $135,252 as of December 31, 2022, consisted of corporate debt securities of $103,591 and government debt securities of $31,661. There were $132,757 current marketable securities and $2,495 noncurrent marketable securities as of December 31, 2022.</w:t>
      </w:r>
    </w:p>
    <w:p>
      <w:pPr>
        <w:spacing w:after="0" w:line="72"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2023, and December 31, 2022, aggregated gross unrealized losses of available-for-sale investments were not material, and accordingly, no allowance for credit losses was recorded.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Property and Equipment, Net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 &amp; equipment</w:t>
            </w:r>
          </w:p>
        </w:tc>
        <w:tc>
          <w:tcPr>
            <w:tcW w:w="28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00" w:type="dxa"/>
            <w:vAlign w:val="bottom"/>
            <w:shd w:val="clear" w:color="auto" w:fill="CFF0FC"/>
          </w:tcPr>
          <w:p>
            <w:pPr>
              <w:spacing w:after="0"/>
              <w:rPr>
                <w:sz w:val="20"/>
                <w:szCs w:val="20"/>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&amp; fixtures</w:t>
            </w: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FF0FC"/>
          </w:tcPr>
          <w:p>
            <w:pPr>
              <w:spacing w:after="0"/>
              <w:rPr>
                <w:sz w:val="21"/>
                <w:szCs w:val="2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20"/>
                <w:szCs w:val="20"/>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 not placed in service</w:t>
            </w:r>
          </w:p>
        </w:tc>
        <w:tc>
          <w:tcPr>
            <w:tcW w:w="2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00" w:type="dxa"/>
            <w:vAlign w:val="bottom"/>
            <w:shd w:val="clear" w:color="auto" w:fill="CFF0FC"/>
          </w:tcPr>
          <w:p>
            <w:pPr>
              <w:spacing w:after="0"/>
              <w:rPr>
                <w:sz w:val="21"/>
                <w:szCs w:val="21"/>
                <w:color w:val="auto"/>
              </w:rPr>
            </w:pPr>
          </w:p>
        </w:tc>
      </w:tr>
      <w:tr>
        <w:trPr>
          <w:trHeight w:val="237"/>
        </w:trPr>
        <w:tc>
          <w:tcPr>
            <w:tcW w:w="7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13,592</w:t>
            </w:r>
          </w:p>
        </w:tc>
        <w:tc>
          <w:tcPr>
            <w:tcW w:w="30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13,139</w:t>
            </w:r>
          </w:p>
        </w:tc>
        <w:tc>
          <w:tcPr>
            <w:tcW w:w="100" w:type="dxa"/>
            <w:vAlign w:val="bottom"/>
            <w:tcBorders>
              <w:top w:val="single" w:sz="8" w:color="CFF0FC"/>
            </w:tcBorders>
          </w:tcPr>
          <w:p>
            <w:pPr>
              <w:spacing w:after="0"/>
              <w:rPr>
                <w:sz w:val="20"/>
                <w:szCs w:val="20"/>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(2,354 )</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(2,184 )</w:t>
            </w:r>
          </w:p>
        </w:tc>
      </w:tr>
      <w:tr>
        <w:trPr>
          <w:trHeight w:val="237"/>
        </w:trPr>
        <w:tc>
          <w:tcPr>
            <w:tcW w:w="7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11,238</w:t>
            </w:r>
          </w:p>
        </w:tc>
        <w:tc>
          <w:tcPr>
            <w:tcW w:w="30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10,955</w:t>
            </w:r>
          </w:p>
        </w:tc>
        <w:tc>
          <w:tcPr>
            <w:tcW w:w="100" w:type="dxa"/>
            <w:vAlign w:val="bottom"/>
            <w:tcBorders>
              <w:top w:val="single" w:sz="8" w:color="CFF0FC"/>
            </w:tcBorders>
          </w:tcPr>
          <w:p>
            <w:pPr>
              <w:spacing w:after="0"/>
              <w:rPr>
                <w:sz w:val="20"/>
                <w:szCs w:val="20"/>
                <w:color w:val="auto"/>
              </w:rPr>
            </w:pPr>
          </w:p>
        </w:tc>
      </w:tr>
      <w:tr>
        <w:trPr>
          <w:trHeight w:val="20"/>
        </w:trPr>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-505460</wp:posOffset>
            </wp:positionV>
            <wp:extent cx="68580" cy="1631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2023 and 2022 was $171 and $84,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87"/>
        </w:trPr>
        <w:tc>
          <w:tcPr>
            <w:tcW w:w="7720" w:type="dxa"/>
            <w:vAlign w:val="bottom"/>
          </w:tcPr>
          <w:p>
            <w:pPr>
              <w:spacing w:after="0"/>
              <w:rPr>
                <w:sz w:val="16"/>
                <w:szCs w:val="16"/>
                <w:color w:val="auto"/>
              </w:rPr>
            </w:pP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14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1,846</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legal and professional services</w:t>
            </w:r>
          </w:p>
        </w:tc>
        <w:tc>
          <w:tcPr>
            <w:tcW w:w="1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114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6,425</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8,535</w:t>
            </w:r>
          </w:p>
        </w:tc>
        <w:tc>
          <w:tcPr>
            <w:tcW w:w="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76835"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 Commitments and Contingencies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In June 2015, the Company executed a noncancelable operating lease for approximately 13,000 square feet of laboratory, research and development, and office space in Cranbury, New Jersey. This location operated as the Company's headquarters until March 2023.</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 June 2017, the Company obtained an additional noncancelable operating lease for about 6,000 square feet of laboratory space in the same corporate center. As a result of the additional space, both leases were set to expire in June 2022. In January 2022, the Company signed a lease extension for both leases for up to one additional year through June 2023, with the option to terminate upon 120 days of written notice, with an increase in base rent as per the lease extension.</w:t>
      </w:r>
    </w:p>
    <w:p>
      <w:pPr>
        <w:spacing w:after="0" w:line="7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August 2018, the Company executed two noncancelable operating leases. One lease for approximately 6,000 square feet for vivarium, laboratory and general office space in South Brunswick, New Jersey. The lease was set to expire in July 2022. In January 2022, the Company signed a lease extension for up to one additional year through July 2023, with the option to terminate upon 120 days of written notice, with an increase in base rent as per the lease extension. The second lease is for office space in Lexington, Massachusetts, that expires August 2023, with an option to renew for a one-time, three-year extension.</w:t>
      </w:r>
    </w:p>
    <w:p>
      <w:pPr>
        <w:spacing w:after="0" w:line="75"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January 2021, the Company signed a lease for 50,581 square feet of office and laboratory space at One Research Way in Princeton, New Jersey. That lease term extends through 2032, has a five-year extension option, and replaced the Company’s two existing facilities as the Company’s headquarters in March 2023. Payment under this lease will total $19,889 through May 2032. The Company received a lease incentive of $4,046 from the lessor for a buildout of laboratory, vivarium, and office space, to be reimbursed to the Company in 2022 and 2023. Management estimated the timing and amounts of reimbursements and included them as a reduction of lease payments when initially measuring the lease liability and right-of-use asset upon commencement. Since the inception date of the lease, $2,969 reimbursements were received. For the three months ended March 31, 2023, no reimbursements were received.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cost for the three months ended March 31, 2023, and 2022,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40" w:type="dxa"/>
            <w:vAlign w:val="bottom"/>
            <w:gridSpan w:val="5"/>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r>
      <w:tr>
        <w:trPr>
          <w:trHeight w:val="169"/>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300" w:type="dxa"/>
            <w:vAlign w:val="bottom"/>
            <w:gridSpan w:val="2"/>
            <w:shd w:val="clear" w:color="auto" w:fill="CFF0FC"/>
          </w:tcPr>
          <w:p>
            <w:pPr>
              <w:spacing w:after="0"/>
              <w:rPr>
                <w:sz w:val="20"/>
                <w:szCs w:val="20"/>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FF0FC"/>
          </w:tcPr>
          <w:p>
            <w:pPr>
              <w:spacing w:after="0"/>
              <w:rPr>
                <w:sz w:val="20"/>
                <w:szCs w:val="20"/>
                <w:color w:val="auto"/>
              </w:rPr>
            </w:pPr>
          </w:p>
        </w:tc>
      </w:tr>
      <w:tr>
        <w:trPr>
          <w:trHeight w:val="24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4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1"/>
                <w:szCs w:val="21"/>
                <w:color w:val="auto"/>
              </w:rPr>
            </w:pPr>
          </w:p>
        </w:tc>
      </w:tr>
      <w:tr>
        <w:trPr>
          <w:trHeight w:val="277"/>
        </w:trPr>
        <w:tc>
          <w:tcPr>
            <w:tcW w:w="7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300" w:type="dxa"/>
            <w:vAlign w:val="bottom"/>
            <w:tcBorders>
              <w:bottom w:val="single" w:sz="8" w:color="CFF0FC"/>
            </w:tcBorders>
            <w:gridSpan w:val="2"/>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5778500</wp:posOffset>
            </wp:positionH>
            <wp:positionV relativeFrom="paragraph">
              <wp:posOffset>-637540</wp:posOffset>
            </wp:positionV>
            <wp:extent cx="137160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71600" cy="15430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Amounts reported in the balance sheet for leases where the Company is the lessee as of March 31, 2023, and December 31, 2022,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162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 (in thousands, except lease term and discount rate data):</w:t>
            </w: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operating leases</w:t>
            </w:r>
          </w:p>
        </w:tc>
        <w:tc>
          <w:tcPr>
            <w:tcW w:w="3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9,130</w:t>
            </w: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9,539</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7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40" w:type="dxa"/>
            <w:vAlign w:val="bottom"/>
            <w:tcBorders>
              <w:bottom w:val="single" w:sz="8" w:color="auto"/>
            </w:tcBorders>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13,478</w:t>
            </w:r>
          </w:p>
        </w:tc>
        <w:tc>
          <w:tcPr>
            <w:tcW w:w="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13,976</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7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5.75 %</w:t>
            </w:r>
          </w:p>
        </w:tc>
        <w:tc>
          <w:tcPr>
            <w:tcW w:w="28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5.75 %</w:t>
            </w:r>
          </w:p>
        </w:tc>
      </w:tr>
      <w:tr>
        <w:trPr>
          <w:trHeight w:val="454"/>
        </w:trPr>
        <w:tc>
          <w:tcPr>
            <w:tcW w:w="9400" w:type="dxa"/>
            <w:vAlign w:val="bottom"/>
            <w:gridSpan w:val="7"/>
          </w:tcPr>
          <w:p>
            <w:pPr>
              <w:ind w:left="520"/>
              <w:spacing w:after="0"/>
              <w:rPr>
                <w:sz w:val="20"/>
                <w:szCs w:val="20"/>
                <w:color w:val="auto"/>
              </w:rPr>
            </w:pPr>
            <w:r>
              <w:rPr>
                <w:rFonts w:ascii="Times New Roman" w:cs="Times New Roman" w:eastAsia="Times New Roman" w:hAnsi="Times New Roman"/>
                <w:sz w:val="18"/>
                <w:szCs w:val="18"/>
                <w:color w:val="auto"/>
              </w:rPr>
              <w:t>Other information related to leases for the three months ended March 31, 2023 and 2022, respectively, as follows:</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5"/>
        </w:trPr>
        <w:tc>
          <w:tcPr>
            <w:tcW w:w="7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0" w:type="dxa"/>
            <w:vAlign w:val="bottom"/>
            <w:gridSpan w:val="8"/>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paid (received) for amounts included in the measurement of lease liabilities</w:t>
            </w:r>
          </w:p>
        </w:tc>
        <w:tc>
          <w:tcPr>
            <w:tcW w:w="2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20"/>
                <w:szCs w:val="20"/>
                <w:color w:val="auto"/>
              </w:rPr>
            </w:pPr>
          </w:p>
        </w:tc>
      </w:tr>
      <w:tr>
        <w:trPr>
          <w:trHeight w:val="234"/>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or modified operating lease liabilities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-1502410</wp:posOffset>
            </wp:positionV>
            <wp:extent cx="68580"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-1502410</wp:posOffset>
            </wp:positionV>
            <wp:extent cx="68580" cy="163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payments, net of reimbursements, remaining as of March 31, 2023, under operating leases by fiscal year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88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FF0FC"/>
          </w:tcPr>
          <w:p>
            <w:pPr>
              <w:spacing w:after="0"/>
              <w:rPr>
                <w:sz w:val="21"/>
                <w:szCs w:val="21"/>
                <w:color w:val="auto"/>
              </w:rPr>
            </w:pPr>
          </w:p>
        </w:tc>
      </w:tr>
      <w:tr>
        <w:trPr>
          <w:trHeight w:val="23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tcPr>
          <w:p>
            <w:pPr>
              <w:spacing w:after="0"/>
              <w:rPr>
                <w:sz w:val="20"/>
                <w:szCs w:val="20"/>
                <w:color w:val="auto"/>
              </w:rPr>
            </w:pPr>
          </w:p>
        </w:tc>
      </w:tr>
      <w:tr>
        <w:trPr>
          <w:trHeight w:val="247"/>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shd w:val="clear" w:color="auto" w:fill="CFF0FC"/>
          </w:tcPr>
          <w:p>
            <w:pPr>
              <w:spacing w:after="0"/>
              <w:rPr>
                <w:sz w:val="21"/>
                <w:szCs w:val="21"/>
                <w:color w:val="auto"/>
              </w:rPr>
            </w:pPr>
          </w:p>
        </w:tc>
      </w:tr>
      <w:tr>
        <w:trPr>
          <w:trHeight w:val="23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Pr>
          <w:p>
            <w:pPr>
              <w:spacing w:after="0"/>
              <w:rPr>
                <w:sz w:val="20"/>
                <w:szCs w:val="20"/>
                <w:color w:val="auto"/>
              </w:rPr>
            </w:pPr>
          </w:p>
        </w:tc>
      </w:tr>
      <w:tr>
        <w:trPr>
          <w:trHeight w:val="247"/>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100" w:type="dxa"/>
            <w:vAlign w:val="bottom"/>
            <w:shd w:val="clear" w:color="auto" w:fill="CFF0FC"/>
          </w:tcPr>
          <w:p>
            <w:pPr>
              <w:spacing w:after="0"/>
              <w:rPr>
                <w:sz w:val="21"/>
                <w:szCs w:val="21"/>
                <w:color w:val="auto"/>
              </w:rPr>
            </w:pPr>
          </w:p>
        </w:tc>
      </w:tr>
      <w:tr>
        <w:trPr>
          <w:trHeight w:val="24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100" w:type="dxa"/>
            <w:vAlign w:val="bottom"/>
          </w:tcPr>
          <w:p>
            <w:pPr>
              <w:spacing w:after="0"/>
              <w:rPr>
                <w:sz w:val="21"/>
                <w:szCs w:val="21"/>
                <w:color w:val="auto"/>
              </w:rPr>
            </w:pPr>
          </w:p>
        </w:tc>
      </w:tr>
      <w:tr>
        <w:trPr>
          <w:trHeight w:val="237"/>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17,617</w:t>
            </w:r>
          </w:p>
        </w:tc>
        <w:tc>
          <w:tcPr>
            <w:tcW w:w="100" w:type="dxa"/>
            <w:vAlign w:val="bottom"/>
            <w:shd w:val="clear" w:color="auto" w:fill="CFF0FC"/>
          </w:tcPr>
          <w:p>
            <w:pPr>
              <w:spacing w:after="0"/>
              <w:rPr>
                <w:sz w:val="20"/>
                <w:szCs w:val="20"/>
                <w:color w:val="auto"/>
              </w:rPr>
            </w:pPr>
          </w:p>
        </w:tc>
      </w:tr>
      <w:tr>
        <w:trPr>
          <w:trHeight w:val="24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Amounts representing imputed interest</w:t>
            </w:r>
          </w:p>
        </w:tc>
        <w:tc>
          <w:tcPr>
            <w:tcW w:w="360" w:type="dxa"/>
            <w:vAlign w:val="bottom"/>
          </w:tcPr>
          <w:p>
            <w:pPr>
              <w:spacing w:after="0"/>
              <w:rPr>
                <w:sz w:val="21"/>
                <w:szCs w:val="21"/>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(4,139 )</w:t>
            </w:r>
          </w:p>
        </w:tc>
      </w:tr>
      <w:tr>
        <w:trPr>
          <w:trHeight w:val="277"/>
        </w:trPr>
        <w:tc>
          <w:tcPr>
            <w:tcW w:w="9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Rent expense recorded during the three months ended March 31, 2023 and 2022 was $597 and $511, respectively.</w:t>
      </w:r>
    </w:p>
    <w:p>
      <w:pPr>
        <w:spacing w:after="0" w:line="117"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currently subleases the office space at 420 Bedford Street in Lexington, Massachusetts to another company. This sublease agreement expires in August, 2023. In April 2021, the Company entered into a sublease agreement with the previous tenants of the office space at One Research Way in Princeton, NJ to begin April 2021 and end June 2021. Sublease income recorded during the three months ended March 31, 2023 and 2022 was $29.</w:t>
      </w:r>
    </w:p>
    <w:p>
      <w:pPr>
        <w:spacing w:after="0" w:line="14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7" w:right="27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Stockholders’ Equity</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up to 1,000,000,000 shares of common stock with a par value of $0.00001 per share and 5,000,000 shares of preferred stock with a par value of $0.00001 per share. At March 31, 2023 and December 31, 2022, there were 45,774,761 and 45,771,332 shares of common stock issued and outstanding, respectively.</w:t>
      </w:r>
    </w:p>
    <w:p>
      <w:pPr>
        <w:spacing w:after="0" w:line="68"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Common stockholders are entitled to receive dividends if and when declared by the board of directors subject to the rights of any preferred stockholders. As of March 31, 2023, no dividends on common stock had been declared by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 Stock Plan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2020 Equity Incentive Plan (the “2020 Plan”) was approved by the board of directors on September 24, 2020. The 2020 Plan provides for the grant of incentive stock options, non-qualified stock options, stock appreciation rights, restricted stock units, restricted stock awards, unrestricted stock awards, cash-based awards and dividend equivalent rights to the Company’s officers, employees, directors, and consultants. The number of shares of common stock initially reserved for issuance under the 2020 Plan was 4,406,374, which shall be increased, upon approval by the board of directors, on January 1, 2021 and each January 1 thereafter, in an amount equal to the least of (i) 4,406,374 shares of common stock, (ii) five percent (5%) of the outstanding common stock on the immediately preceding December 31, or (iii) such number of common stock determined by the board of directors no later than the immediately preceding December 31. For 2023, the board's compensation committee, as the 2020 Plan administrator, exercised its discretion under clause (iii) to increase the number of shares of common stock reserved for issuance under the 2020 Plan by a lesser amount of 1,830,853 shares, effective as of January 1, 2023. As of March 31, 2023, there were 6,414,476 shares available for issuance under the 2020 Plan.</w:t>
      </w:r>
    </w:p>
    <w:p>
      <w:pPr>
        <w:spacing w:after="0" w:line="80"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On September 9, 2022, the Company granted 374,899 Restricted Stock Units ("RSUs") to employees pursuant to an employee retention program approved by the board's compensation committee. The RSUs have graded vesting on an annual basis for two years of continuous service, as per the 2020 Plan.</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2020 Employee Stock Purchase Plan (the “2020 ESPP”) was approved by the board of directors on September 24, 2020. A total of 400,752 shares of common stock were initially reserved for issuance under this plan, which shall be increased, upon approval by the board of directors, on January 1, 2021 and each January 1 thereafter, to the lesser of (i) 801,504 shares of common stock, (ii) 1% of the outstanding shares of common stock on the last day of the immediately preceding fiscal year, or (iii) an amount determined by the board of directors or any of its committees no later than the last day of the immediately preceding fiscal year. For 2023, the 2020 ESPP reserved shares were increased under clause (iii) by 457,713 shares, effective as of January 1, 2023. As of March 31, 2023, 95,905 shares are issued or outstanding, and there were 705,559 shares available for issuance, under the 2020 ESPP.</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option activity for the three-month period ended March 31,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625"/>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5"/>
                <w:szCs w:val="15"/>
                <w:color w:val="auto"/>
              </w:rPr>
            </w:pPr>
          </w:p>
        </w:tc>
      </w:tr>
      <w:tr>
        <w:trPr>
          <w:trHeight w:val="176"/>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5"/>
                <w:szCs w:val="15"/>
                <w:color w:val="auto"/>
              </w:rPr>
            </w:pPr>
          </w:p>
        </w:tc>
      </w:tr>
      <w:tr>
        <w:trPr>
          <w:trHeight w:val="175"/>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Available</w:t>
            </w: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5"/>
                <w:szCs w:val="15"/>
                <w:color w:val="auto"/>
              </w:rPr>
            </w:pPr>
          </w:p>
        </w:tc>
        <w:tc>
          <w:tcPr>
            <w:tcW w:w="8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2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5"/>
                <w:szCs w:val="15"/>
                <w:color w:val="auto"/>
              </w:rPr>
            </w:pPr>
          </w:p>
        </w:tc>
      </w:tr>
      <w:tr>
        <w:trPr>
          <w:trHeight w:val="187"/>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Grant</w:t>
            </w: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6"/>
                <w:szCs w:val="16"/>
                <w:color w:val="auto"/>
              </w:rPr>
            </w:pPr>
          </w:p>
        </w:tc>
        <w:tc>
          <w:tcPr>
            <w:tcW w:w="88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100" w:type="dxa"/>
            <w:vAlign w:val="bottom"/>
          </w:tcPr>
          <w:p>
            <w:pPr>
              <w:spacing w:after="0"/>
              <w:rPr>
                <w:sz w:val="16"/>
                <w:szCs w:val="16"/>
                <w:color w:val="auto"/>
              </w:rPr>
            </w:pPr>
          </w:p>
        </w:tc>
      </w:tr>
      <w:tr>
        <w:trPr>
          <w:trHeight w:val="237"/>
        </w:trPr>
        <w:tc>
          <w:tcPr>
            <w:tcW w:w="42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2022</w:t>
            </w:r>
          </w:p>
        </w:tc>
        <w:tc>
          <w:tcPr>
            <w:tcW w:w="12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4,618,292</w:t>
            </w:r>
          </w:p>
        </w:tc>
        <w:tc>
          <w:tcPr>
            <w:tcW w:w="24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5,278,771</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2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17,244</w:t>
            </w:r>
          </w:p>
        </w:tc>
        <w:tc>
          <w:tcPr>
            <w:tcW w:w="100" w:type="dxa"/>
            <w:vAlign w:val="bottom"/>
            <w:shd w:val="clear" w:color="auto" w:fill="CFF0FC"/>
          </w:tcPr>
          <w:p>
            <w:pPr>
              <w:spacing w:after="0"/>
              <w:rPr>
                <w:sz w:val="20"/>
                <w:szCs w:val="20"/>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reserved for issuance</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1,830,853</w:t>
            </w:r>
          </w:p>
        </w:tc>
        <w:tc>
          <w:tcPr>
            <w:tcW w:w="24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5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(50,000 )</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forfeited / cancelled</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15,331</w:t>
            </w:r>
          </w:p>
        </w:tc>
        <w:tc>
          <w:tcPr>
            <w:tcW w:w="24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(15,331 )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(3,429 )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2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March 31, 2023 (unaudited)</w:t>
            </w:r>
          </w:p>
        </w:tc>
        <w:tc>
          <w:tcPr>
            <w:tcW w:w="120" w:type="dxa"/>
            <w:vAlign w:val="bottom"/>
            <w:tcBorders>
              <w:top w:val="single" w:sz="8" w:color="CFF0FC"/>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6,414,476</w:t>
            </w:r>
          </w:p>
        </w:tc>
        <w:tc>
          <w:tcPr>
            <w:tcW w:w="240" w:type="dxa"/>
            <w:vAlign w:val="bottom"/>
            <w:tcBorders>
              <w:top w:val="single" w:sz="8" w:color="CFF0FC"/>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5,310,011</w:t>
            </w: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58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42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100" w:type="dxa"/>
            <w:vAlign w:val="bottom"/>
            <w:tcBorders>
              <w:top w:val="single" w:sz="8" w:color="CFF0FC"/>
            </w:tcBorders>
          </w:tcPr>
          <w:p>
            <w:pPr>
              <w:spacing w:after="0"/>
              <w:rPr>
                <w:sz w:val="20"/>
                <w:szCs w:val="20"/>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At March 31, 2023</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5,310,011</w:t>
            </w:r>
          </w:p>
        </w:tc>
        <w:tc>
          <w:tcPr>
            <w:tcW w:w="2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100" w:type="dxa"/>
            <w:vAlign w:val="bottom"/>
          </w:tcPr>
          <w:p>
            <w:pPr>
              <w:spacing w:after="0"/>
              <w:rPr>
                <w:sz w:val="21"/>
                <w:szCs w:val="2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4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Exercisable</w:t>
            </w:r>
          </w:p>
        </w:tc>
        <w:tc>
          <w:tcPr>
            <w:tcW w:w="12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3,490,036</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5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-702310</wp:posOffset>
            </wp:positionV>
            <wp:extent cx="77470"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-702310</wp:posOffset>
            </wp:positionV>
            <wp:extent cx="68580" cy="1885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-702310</wp:posOffset>
            </wp:positionV>
            <wp:extent cx="68580"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At March 31, 2023, the total compensation cost related to nonvested awards not yet recognized was $22,437. The weighted-average period over which the nonvested awards is expected to be recognized was 2.5 years.</w:t>
      </w:r>
    </w:p>
    <w:p>
      <w:pPr>
        <w:spacing w:after="0" w:line="54"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the options using the Black-Scholes options valuation model. The fair value of the options is being amortized on a straight-line basis over the requisite service period of the awards. The fair value was estimated using the following assumptions: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00" w:type="dxa"/>
            <w:vAlign w:val="bottom"/>
          </w:tcPr>
          <w:p>
            <w:pPr>
              <w:spacing w:after="0"/>
              <w:rPr>
                <w:sz w:val="15"/>
                <w:szCs w:val="15"/>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r>
      <w:tr>
        <w:trPr>
          <w:trHeight w:val="176"/>
        </w:trPr>
        <w:tc>
          <w:tcPr>
            <w:tcW w:w="6200" w:type="dxa"/>
            <w:vAlign w:val="bottom"/>
          </w:tcPr>
          <w:p>
            <w:pPr>
              <w:spacing w:after="0"/>
              <w:rPr>
                <w:sz w:val="15"/>
                <w:szCs w:val="15"/>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5"/>
                <w:szCs w:val="15"/>
                <w:color w:val="auto"/>
              </w:rPr>
            </w:pPr>
          </w:p>
        </w:tc>
      </w:tr>
      <w:tr>
        <w:trPr>
          <w:trHeight w:val="187"/>
        </w:trPr>
        <w:tc>
          <w:tcPr>
            <w:tcW w:w="6200" w:type="dxa"/>
            <w:vAlign w:val="bottom"/>
          </w:tcPr>
          <w:p>
            <w:pPr>
              <w:spacing w:after="0"/>
              <w:rPr>
                <w:sz w:val="16"/>
                <w:szCs w:val="16"/>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540" w:type="dxa"/>
            <w:vAlign w:val="bottom"/>
            <w:gridSpan w:val="3"/>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r>
      <w:tr>
        <w:trPr>
          <w:trHeight w:val="23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400" w:type="dxa"/>
            <w:vAlign w:val="bottom"/>
            <w:tcBorders>
              <w:top w:val="single" w:sz="8" w:color="auto"/>
            </w:tcBorders>
            <w:shd w:val="clear" w:color="auto" w:fill="CFF0FC"/>
          </w:tcPr>
          <w:p>
            <w:pPr>
              <w:jc w:val="center"/>
              <w:ind w:left="58"/>
              <w:spacing w:after="0"/>
              <w:rPr>
                <w:sz w:val="20"/>
                <w:szCs w:val="20"/>
                <w:color w:val="auto"/>
              </w:rPr>
            </w:pPr>
            <w:r>
              <w:rPr>
                <w:rFonts w:ascii="Times New Roman" w:cs="Times New Roman" w:eastAsia="Times New Roman" w:hAnsi="Times New Roman"/>
                <w:sz w:val="18"/>
                <w:szCs w:val="18"/>
                <w:color w:val="auto"/>
                <w:w w:val="98"/>
              </w:rPr>
              <w:t>3.58%</w:t>
            </w:r>
          </w:p>
        </w:tc>
        <w:tc>
          <w:tcPr>
            <w:tcW w:w="22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1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- 2.01%</w:t>
            </w:r>
          </w:p>
        </w:tc>
        <w:tc>
          <w:tcPr>
            <w:tcW w:w="100" w:type="dxa"/>
            <w:vAlign w:val="bottom"/>
            <w:shd w:val="clear" w:color="auto" w:fill="CCEEFF"/>
          </w:tcPr>
          <w:p>
            <w:pPr>
              <w:spacing w:after="0"/>
              <w:rPr>
                <w:sz w:val="20"/>
                <w:szCs w:val="20"/>
                <w:color w:val="auto"/>
              </w:rPr>
            </w:pP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2400" w:type="dxa"/>
            <w:vAlign w:val="bottom"/>
          </w:tcPr>
          <w:p>
            <w:pPr>
              <w:jc w:val="center"/>
              <w:ind w:left="38"/>
              <w:spacing w:after="0"/>
              <w:rPr>
                <w:sz w:val="20"/>
                <w:szCs w:val="20"/>
                <w:color w:val="auto"/>
              </w:rPr>
            </w:pPr>
            <w:r>
              <w:rPr>
                <w:rFonts w:ascii="Times New Roman" w:cs="Times New Roman" w:eastAsia="Times New Roman" w:hAnsi="Times New Roman"/>
                <w:sz w:val="18"/>
                <w:szCs w:val="18"/>
                <w:color w:val="auto"/>
              </w:rPr>
              <w:t>6.25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- 6.44</w:t>
            </w:r>
          </w:p>
        </w:tc>
        <w:tc>
          <w:tcPr>
            <w:tcW w:w="100" w:type="dxa"/>
            <w:vAlign w:val="bottom"/>
          </w:tcPr>
          <w:p>
            <w:pPr>
              <w:spacing w:after="0"/>
              <w:rPr>
                <w:sz w:val="20"/>
                <w:szCs w:val="20"/>
                <w:color w:val="auto"/>
              </w:rPr>
            </w:pPr>
          </w:p>
        </w:tc>
      </w:tr>
      <w:tr>
        <w:trPr>
          <w:trHeight w:val="247"/>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400" w:type="dxa"/>
            <w:vAlign w:val="bottom"/>
            <w:shd w:val="clear" w:color="auto" w:fill="CFF0FC"/>
          </w:tcPr>
          <w:p>
            <w:pPr>
              <w:jc w:val="center"/>
              <w:ind w:left="38"/>
              <w:spacing w:after="0"/>
              <w:rPr>
                <w:sz w:val="20"/>
                <w:szCs w:val="20"/>
                <w:color w:val="auto"/>
              </w:rPr>
            </w:pPr>
            <w:r>
              <w:rPr>
                <w:rFonts w:ascii="Times New Roman" w:cs="Times New Roman" w:eastAsia="Times New Roman" w:hAnsi="Times New Roman"/>
                <w:sz w:val="18"/>
                <w:szCs w:val="18"/>
                <w:color w:val="auto"/>
                <w:w w:val="99"/>
              </w:rPr>
              <w:t>0%</w:t>
            </w:r>
          </w:p>
        </w:tc>
        <w:tc>
          <w:tcPr>
            <w:tcW w:w="2540" w:type="dxa"/>
            <w:vAlign w:val="bottom"/>
            <w:gridSpan w:val="3"/>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21"/>
                <w:szCs w:val="21"/>
                <w:color w:val="auto"/>
              </w:rPr>
            </w:pPr>
          </w:p>
        </w:tc>
      </w:tr>
      <w:tr>
        <w:trPr>
          <w:trHeight w:val="23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400" w:type="dxa"/>
            <w:vAlign w:val="bottom"/>
          </w:tcPr>
          <w:p>
            <w:pPr>
              <w:jc w:val="center"/>
              <w:ind w:left="38"/>
              <w:spacing w:after="0"/>
              <w:rPr>
                <w:sz w:val="20"/>
                <w:szCs w:val="20"/>
                <w:color w:val="auto"/>
              </w:rPr>
            </w:pPr>
            <w:r>
              <w:rPr>
                <w:rFonts w:ascii="Times New Roman" w:cs="Times New Roman" w:eastAsia="Times New Roman" w:hAnsi="Times New Roman"/>
                <w:sz w:val="18"/>
                <w:szCs w:val="18"/>
                <w:color w:val="auto"/>
              </w:rPr>
              <w:t>79.90%</w:t>
            </w:r>
          </w:p>
        </w:tc>
        <w:tc>
          <w:tcPr>
            <w:tcW w:w="254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77.00%</w:t>
            </w:r>
          </w:p>
        </w:tc>
        <w:tc>
          <w:tcPr>
            <w:tcW w:w="100" w:type="dxa"/>
            <w:vAlign w:val="bottom"/>
          </w:tcPr>
          <w:p>
            <w:pPr>
              <w:spacing w:after="0"/>
              <w:rPr>
                <w:sz w:val="20"/>
                <w:szCs w:val="20"/>
                <w:color w:val="auto"/>
              </w:rPr>
            </w:pPr>
          </w:p>
        </w:tc>
      </w:tr>
    </w:tbl>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 average assumptions used to estimate the fair value of stock purchase rights under the ESPP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00" w:type="dxa"/>
            <w:vAlign w:val="bottom"/>
          </w:tcPr>
          <w:p>
            <w:pPr>
              <w:spacing w:after="0"/>
              <w:rPr>
                <w:sz w:val="15"/>
                <w:szCs w:val="15"/>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r>
      <w:tr>
        <w:trPr>
          <w:trHeight w:val="176"/>
        </w:trPr>
        <w:tc>
          <w:tcPr>
            <w:tcW w:w="6200" w:type="dxa"/>
            <w:vAlign w:val="bottom"/>
          </w:tcPr>
          <w:p>
            <w:pPr>
              <w:spacing w:after="0"/>
              <w:rPr>
                <w:sz w:val="15"/>
                <w:szCs w:val="15"/>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5"/>
                <w:szCs w:val="15"/>
                <w:color w:val="auto"/>
              </w:rPr>
            </w:pPr>
          </w:p>
        </w:tc>
      </w:tr>
      <w:tr>
        <w:trPr>
          <w:trHeight w:val="187"/>
        </w:trPr>
        <w:tc>
          <w:tcPr>
            <w:tcW w:w="6200" w:type="dxa"/>
            <w:vAlign w:val="bottom"/>
          </w:tcPr>
          <w:p>
            <w:pPr>
              <w:spacing w:after="0"/>
              <w:rPr>
                <w:sz w:val="16"/>
                <w:szCs w:val="16"/>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54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r>
      <w:tr>
        <w:trPr>
          <w:trHeight w:val="23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400" w:type="dxa"/>
            <w:vAlign w:val="bottom"/>
            <w:tcBorders>
              <w:top w:val="single" w:sz="8" w:color="auto"/>
            </w:tcBorders>
            <w:shd w:val="clear" w:color="auto" w:fill="CFF0FC"/>
          </w:tcPr>
          <w:p>
            <w:pPr>
              <w:jc w:val="center"/>
              <w:ind w:left="38"/>
              <w:spacing w:after="0"/>
              <w:rPr>
                <w:sz w:val="20"/>
                <w:szCs w:val="20"/>
                <w:color w:val="auto"/>
              </w:rPr>
            </w:pPr>
            <w:r>
              <w:rPr>
                <w:rFonts w:ascii="Times New Roman" w:cs="Times New Roman" w:eastAsia="Times New Roman" w:hAnsi="Times New Roman"/>
                <w:sz w:val="18"/>
                <w:szCs w:val="18"/>
                <w:color w:val="auto"/>
              </w:rPr>
              <w:t>4.65%</w:t>
            </w:r>
          </w:p>
        </w:tc>
        <w:tc>
          <w:tcPr>
            <w:tcW w:w="220" w:type="dxa"/>
            <w:vAlign w:val="bottom"/>
            <w:shd w:val="clear" w:color="auto" w:fill="CFF0FC"/>
          </w:tcPr>
          <w:p>
            <w:pPr>
              <w:spacing w:after="0"/>
              <w:rPr>
                <w:sz w:val="20"/>
                <w:szCs w:val="20"/>
                <w:color w:val="auto"/>
              </w:rPr>
            </w:pPr>
          </w:p>
        </w:tc>
        <w:tc>
          <w:tcPr>
            <w:tcW w:w="2320" w:type="dxa"/>
            <w:vAlign w:val="bottom"/>
            <w:tcBorders>
              <w:top w:val="single" w:sz="8" w:color="auto"/>
            </w:tcBorders>
            <w:shd w:val="clear" w:color="auto" w:fill="CFF0FC"/>
          </w:tcPr>
          <w:p>
            <w:pPr>
              <w:jc w:val="center"/>
              <w:ind w:left="22"/>
              <w:spacing w:after="0"/>
              <w:rPr>
                <w:sz w:val="20"/>
                <w:szCs w:val="20"/>
                <w:color w:val="auto"/>
              </w:rPr>
            </w:pPr>
            <w:r>
              <w:rPr>
                <w:rFonts w:ascii="Times New Roman" w:cs="Times New Roman" w:eastAsia="Times New Roman" w:hAnsi="Times New Roman"/>
                <w:sz w:val="18"/>
                <w:szCs w:val="18"/>
                <w:color w:val="auto"/>
                <w:w w:val="98"/>
              </w:rPr>
              <w:t>0.06%</w:t>
            </w:r>
          </w:p>
        </w:tc>
        <w:tc>
          <w:tcPr>
            <w:tcW w:w="100" w:type="dxa"/>
            <w:vAlign w:val="bottom"/>
            <w:shd w:val="clear" w:color="auto" w:fill="CCECFF"/>
          </w:tcPr>
          <w:p>
            <w:pPr>
              <w:spacing w:after="0"/>
              <w:rPr>
                <w:sz w:val="20"/>
                <w:szCs w:val="20"/>
                <w:color w:val="auto"/>
              </w:rPr>
            </w:pP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2400" w:type="dxa"/>
            <w:vAlign w:val="bottom"/>
          </w:tcPr>
          <w:p>
            <w:pPr>
              <w:jc w:val="center"/>
              <w:ind w:left="38"/>
              <w:spacing w:after="0"/>
              <w:rPr>
                <w:sz w:val="20"/>
                <w:szCs w:val="20"/>
                <w:color w:val="auto"/>
              </w:rPr>
            </w:pPr>
            <w:r>
              <w:rPr>
                <w:rFonts w:ascii="Times New Roman" w:cs="Times New Roman" w:eastAsia="Times New Roman" w:hAnsi="Times New Roman"/>
                <w:sz w:val="18"/>
                <w:szCs w:val="18"/>
                <w:color w:val="auto"/>
              </w:rPr>
              <w:t>0.49</w:t>
            </w:r>
          </w:p>
        </w:tc>
        <w:tc>
          <w:tcPr>
            <w:tcW w:w="2540" w:type="dxa"/>
            <w:vAlign w:val="bottom"/>
            <w:gridSpan w:val="2"/>
          </w:tcPr>
          <w:p>
            <w:pPr>
              <w:jc w:val="center"/>
              <w:ind w:left="235"/>
              <w:spacing w:after="0"/>
              <w:rPr>
                <w:sz w:val="20"/>
                <w:szCs w:val="20"/>
                <w:color w:val="auto"/>
              </w:rPr>
            </w:pPr>
            <w:r>
              <w:rPr>
                <w:rFonts w:ascii="Times New Roman" w:cs="Times New Roman" w:eastAsia="Times New Roman" w:hAnsi="Times New Roman"/>
                <w:sz w:val="18"/>
                <w:szCs w:val="18"/>
                <w:color w:val="auto"/>
                <w:w w:val="95"/>
              </w:rPr>
              <w:t>0.50</w:t>
            </w:r>
          </w:p>
        </w:tc>
        <w:tc>
          <w:tcPr>
            <w:tcW w:w="100" w:type="dxa"/>
            <w:vAlign w:val="bottom"/>
          </w:tcPr>
          <w:p>
            <w:pPr>
              <w:spacing w:after="0"/>
              <w:rPr>
                <w:sz w:val="20"/>
                <w:szCs w:val="20"/>
                <w:color w:val="auto"/>
              </w:rPr>
            </w:pPr>
          </w:p>
        </w:tc>
      </w:tr>
      <w:tr>
        <w:trPr>
          <w:trHeight w:val="247"/>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400" w:type="dxa"/>
            <w:vAlign w:val="bottom"/>
            <w:shd w:val="clear" w:color="auto" w:fill="CFF0FC"/>
          </w:tcPr>
          <w:p>
            <w:pPr>
              <w:jc w:val="center"/>
              <w:ind w:left="38"/>
              <w:spacing w:after="0"/>
              <w:rPr>
                <w:sz w:val="20"/>
                <w:szCs w:val="20"/>
                <w:color w:val="auto"/>
              </w:rPr>
            </w:pPr>
            <w:r>
              <w:rPr>
                <w:rFonts w:ascii="Times New Roman" w:cs="Times New Roman" w:eastAsia="Times New Roman" w:hAnsi="Times New Roman"/>
                <w:sz w:val="18"/>
                <w:szCs w:val="18"/>
                <w:color w:val="auto"/>
                <w:w w:val="99"/>
              </w:rPr>
              <w:t>0%</w:t>
            </w:r>
          </w:p>
        </w:tc>
        <w:tc>
          <w:tcPr>
            <w:tcW w:w="2540" w:type="dxa"/>
            <w:vAlign w:val="bottom"/>
            <w:gridSpan w:val="2"/>
            <w:shd w:val="clear" w:color="auto" w:fill="CFF0FC"/>
          </w:tcPr>
          <w:p>
            <w:pPr>
              <w:jc w:val="center"/>
              <w:ind w:left="255"/>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shd w:val="clear" w:color="auto" w:fill="CCECFF"/>
          </w:tcPr>
          <w:p>
            <w:pPr>
              <w:spacing w:after="0"/>
              <w:rPr>
                <w:sz w:val="21"/>
                <w:szCs w:val="21"/>
                <w:color w:val="auto"/>
              </w:rPr>
            </w:pPr>
          </w:p>
        </w:tc>
      </w:tr>
      <w:tr>
        <w:trPr>
          <w:trHeight w:val="23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400" w:type="dxa"/>
            <w:vAlign w:val="bottom"/>
          </w:tcPr>
          <w:p>
            <w:pPr>
              <w:jc w:val="center"/>
              <w:ind w:left="38"/>
              <w:spacing w:after="0"/>
              <w:rPr>
                <w:sz w:val="20"/>
                <w:szCs w:val="20"/>
                <w:color w:val="auto"/>
              </w:rPr>
            </w:pPr>
            <w:r>
              <w:rPr>
                <w:rFonts w:ascii="Times New Roman" w:cs="Times New Roman" w:eastAsia="Times New Roman" w:hAnsi="Times New Roman"/>
                <w:sz w:val="18"/>
                <w:szCs w:val="18"/>
                <w:color w:val="auto"/>
              </w:rPr>
              <w:t>76.33%</w:t>
            </w:r>
          </w:p>
        </w:tc>
        <w:tc>
          <w:tcPr>
            <w:tcW w:w="2540" w:type="dxa"/>
            <w:vAlign w:val="bottom"/>
            <w:gridSpan w:val="2"/>
          </w:tcPr>
          <w:p>
            <w:pPr>
              <w:jc w:val="center"/>
              <w:ind w:left="235"/>
              <w:spacing w:after="0"/>
              <w:rPr>
                <w:sz w:val="20"/>
                <w:szCs w:val="20"/>
                <w:color w:val="auto"/>
              </w:rPr>
            </w:pPr>
            <w:r>
              <w:rPr>
                <w:rFonts w:ascii="Times New Roman" w:cs="Times New Roman" w:eastAsia="Times New Roman" w:hAnsi="Times New Roman"/>
                <w:sz w:val="18"/>
                <w:szCs w:val="18"/>
                <w:color w:val="auto"/>
                <w:w w:val="97"/>
              </w:rPr>
              <w:t>76.50%</w:t>
            </w:r>
          </w:p>
        </w:tc>
        <w:tc>
          <w:tcPr>
            <w:tcW w:w="100" w:type="dxa"/>
            <w:vAlign w:val="bottom"/>
          </w:tcPr>
          <w:p>
            <w:pPr>
              <w:spacing w:after="0"/>
              <w:rPr>
                <w:sz w:val="20"/>
                <w:szCs w:val="20"/>
                <w:color w:val="auto"/>
              </w:rPr>
            </w:pPr>
          </w:p>
        </w:tc>
      </w:tr>
    </w:tbl>
    <w:p>
      <w:pPr>
        <w:spacing w:after="0" w:line="220"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Expected Term: The Company uses the simplified method to calculate expected term described in the SEC’s Staff Accounting Bulletin No. 107, which takes into account vesting term and expiration date of the options.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Volatility: Volatility is based on the historical volatility of the Company's publicly traded shares for the expected term.</w:t>
      </w:r>
    </w:p>
    <w:p>
      <w:pPr>
        <w:spacing w:after="0" w:line="117"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Risk Free Interest Rate: The risk-free rate is based on the U.S. Treasury yields in effect at the time of grant for periods corresponding with the expected term of the option.</w:t>
      </w:r>
    </w:p>
    <w:p>
      <w:pPr>
        <w:spacing w:after="0" w:line="5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Dividend Yield: The Company has never declared or paid any cash dividends and does not plan to pay cash dividends in the foreseeable future, and therefore, used an expected dividend yield of zero in the valuation model.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RSU activity under the 2020 Plan as of March 31,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132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00" w:type="dxa"/>
            <w:vAlign w:val="bottom"/>
          </w:tcPr>
          <w:p>
            <w:pPr>
              <w:spacing w:after="0"/>
              <w:rPr>
                <w:sz w:val="13"/>
                <w:szCs w:val="13"/>
                <w:color w:val="auto"/>
              </w:rPr>
            </w:pPr>
          </w:p>
        </w:tc>
      </w:tr>
      <w:tr>
        <w:trPr>
          <w:trHeight w:val="187"/>
        </w:trPr>
        <w:tc>
          <w:tcPr>
            <w:tcW w:w="7060" w:type="dxa"/>
            <w:vAlign w:val="bottom"/>
          </w:tcPr>
          <w:p>
            <w:pPr>
              <w:spacing w:after="0"/>
              <w:rPr>
                <w:sz w:val="16"/>
                <w:szCs w:val="16"/>
                <w:color w:val="auto"/>
              </w:rPr>
            </w:pPr>
          </w:p>
        </w:tc>
        <w:tc>
          <w:tcPr>
            <w:tcW w:w="13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6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00" w:type="dxa"/>
            <w:vAlign w:val="bottom"/>
          </w:tcPr>
          <w:p>
            <w:pPr>
              <w:spacing w:after="0"/>
              <w:rPr>
                <w:sz w:val="16"/>
                <w:szCs w:val="16"/>
                <w:color w:val="auto"/>
              </w:rPr>
            </w:pPr>
          </w:p>
        </w:tc>
      </w:tr>
      <w:tr>
        <w:trPr>
          <w:trHeight w:val="23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shares at December 31, 2022</w:t>
            </w:r>
          </w:p>
        </w:tc>
        <w:tc>
          <w:tcPr>
            <w:tcW w:w="13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374,899</w:t>
            </w: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shd w:val="clear" w:color="auto" w:fill="CFF0FC"/>
          </w:tcPr>
          <w:p>
            <w:pPr>
              <w:spacing w:after="0"/>
              <w:rPr>
                <w:sz w:val="20"/>
                <w:szCs w:val="20"/>
                <w:color w:val="auto"/>
              </w:rPr>
            </w:pPr>
          </w:p>
        </w:tc>
      </w:tr>
      <w:tr>
        <w:trPr>
          <w:trHeight w:val="239"/>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6"/>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shares at March 31, 2023</w:t>
            </w:r>
          </w:p>
        </w:tc>
        <w:tc>
          <w:tcPr>
            <w:tcW w:w="1320" w:type="dxa"/>
            <w:vAlign w:val="bottom"/>
            <w:tcBorders>
              <w:top w:val="single" w:sz="8" w:color="auto"/>
              <w:bottom w:val="single" w:sz="8" w:color="auto"/>
            </w:tcBorders>
            <w:shd w:val="clear" w:color="auto" w:fill="CFF0FC"/>
          </w:tcPr>
          <w:p>
            <w:pPr>
              <w:spacing w:after="0"/>
              <w:rPr>
                <w:sz w:val="24"/>
                <w:szCs w:val="24"/>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374,899</w:t>
            </w:r>
          </w:p>
        </w:tc>
        <w:tc>
          <w:tcPr>
            <w:tcW w:w="3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-25400</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-8255</wp:posOffset>
            </wp:positionV>
            <wp:extent cx="774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2023, there was $3,688 of unrecognized compensation cost related to RSUs that are expected to vest. These costs are expected to be recognized over a weighted average remaining vesting period of 1.4 years.</w:t>
      </w:r>
    </w:p>
    <w:p>
      <w:pPr>
        <w:spacing w:after="0" w:line="5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recorded under ASC 718 related to stock options granted and common stock issued under the 2020 ESPP were allocated to research and development and general and administrative expense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0"/>
        </w:trPr>
        <w:tc>
          <w:tcPr>
            <w:tcW w:w="6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40" w:type="dxa"/>
            <w:vAlign w:val="bottom"/>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20"/>
                <w:szCs w:val="20"/>
                <w:color w:val="auto"/>
              </w:rPr>
            </w:pPr>
          </w:p>
        </w:tc>
      </w:tr>
      <w:tr>
        <w:trPr>
          <w:trHeight w:val="226"/>
        </w:trPr>
        <w:tc>
          <w:tcPr>
            <w:tcW w:w="6180" w:type="dxa"/>
            <w:vAlign w:val="bottom"/>
          </w:tcPr>
          <w:p>
            <w:pPr>
              <w:spacing w:after="0"/>
              <w:rPr>
                <w:sz w:val="19"/>
                <w:szCs w:val="19"/>
                <w:color w:val="auto"/>
              </w:rPr>
            </w:pPr>
          </w:p>
        </w:tc>
        <w:tc>
          <w:tcPr>
            <w:tcW w:w="15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9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37"/>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20" w:type="dxa"/>
            <w:vAlign w:val="bottom"/>
            <w:shd w:val="clear" w:color="auto" w:fill="CFF0FC"/>
          </w:tcPr>
          <w:p>
            <w:pPr>
              <w:jc w:val="right"/>
              <w:ind w:right="13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30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FF0FC"/>
          </w:tcPr>
          <w:p>
            <w:pPr>
              <w:spacing w:after="0"/>
              <w:rPr>
                <w:sz w:val="20"/>
                <w:szCs w:val="20"/>
                <w:color w:val="auto"/>
              </w:rPr>
            </w:pPr>
          </w:p>
        </w:tc>
      </w:tr>
      <w:tr>
        <w:trPr>
          <w:trHeight w:val="24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30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tcPr>
          <w:p>
            <w:pPr>
              <w:spacing w:after="0"/>
              <w:rPr>
                <w:sz w:val="21"/>
                <w:szCs w:val="21"/>
                <w:color w:val="auto"/>
              </w:rPr>
            </w:pPr>
          </w:p>
        </w:tc>
      </w:tr>
      <w:tr>
        <w:trPr>
          <w:trHeight w:val="277"/>
        </w:trPr>
        <w:tc>
          <w:tcPr>
            <w:tcW w:w="6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520" w:type="dxa"/>
            <w:vAlign w:val="bottom"/>
            <w:tcBorders>
              <w:bottom w:val="single" w:sz="8" w:color="auto"/>
            </w:tcBorders>
            <w:shd w:val="clear" w:color="auto" w:fill="CFF0FC"/>
          </w:tcPr>
          <w:p>
            <w:pPr>
              <w:jc w:val="right"/>
              <w:ind w:right="13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30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-25400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by award type included within the condensed consolidated statements of operations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40"/>
        </w:trPr>
        <w:tc>
          <w:tcPr>
            <w:tcW w:w="6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40" w:type="dxa"/>
            <w:vAlign w:val="bottom"/>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20"/>
                <w:szCs w:val="20"/>
                <w:color w:val="auto"/>
              </w:rPr>
            </w:pPr>
          </w:p>
        </w:tc>
      </w:tr>
      <w:tr>
        <w:trPr>
          <w:trHeight w:val="226"/>
        </w:trPr>
        <w:tc>
          <w:tcPr>
            <w:tcW w:w="6180" w:type="dxa"/>
            <w:vAlign w:val="bottom"/>
          </w:tcPr>
          <w:p>
            <w:pPr>
              <w:spacing w:after="0"/>
              <w:rPr>
                <w:sz w:val="19"/>
                <w:szCs w:val="19"/>
                <w:color w:val="auto"/>
              </w:rPr>
            </w:pPr>
          </w:p>
        </w:tc>
        <w:tc>
          <w:tcPr>
            <w:tcW w:w="15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r>
      <w:tr>
        <w:trPr>
          <w:trHeight w:val="237"/>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520" w:type="dxa"/>
            <w:vAlign w:val="bottom"/>
            <w:shd w:val="clear" w:color="auto" w:fill="CFF0FC"/>
          </w:tcPr>
          <w:p>
            <w:pPr>
              <w:jc w:val="right"/>
              <w:ind w:right="13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30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00" w:type="dxa"/>
            <w:vAlign w:val="bottom"/>
            <w:shd w:val="clear" w:color="auto" w:fill="CFF0FC"/>
          </w:tcPr>
          <w:p>
            <w:pPr>
              <w:spacing w:after="0"/>
              <w:rPr>
                <w:sz w:val="20"/>
                <w:szCs w:val="20"/>
                <w:color w:val="auto"/>
              </w:rPr>
            </w:pPr>
          </w:p>
        </w:tc>
      </w:tr>
      <w:tr>
        <w:trPr>
          <w:trHeight w:val="239"/>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6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5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520" w:type="dxa"/>
            <w:vAlign w:val="bottom"/>
          </w:tcPr>
          <w:p>
            <w:pPr>
              <w:jc w:val="right"/>
              <w:ind w:right="13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08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tcPr>
          <w:p>
            <w:pPr>
              <w:spacing w:after="0"/>
              <w:rPr>
                <w:sz w:val="20"/>
                <w:szCs w:val="20"/>
                <w:color w:val="auto"/>
              </w:rPr>
            </w:pPr>
          </w:p>
        </w:tc>
      </w:tr>
      <w:tr>
        <w:trPr>
          <w:trHeight w:val="20"/>
        </w:trPr>
        <w:tc>
          <w:tcPr>
            <w:tcW w:w="61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-187960</wp:posOffset>
            </wp:positionV>
            <wp:extent cx="68580"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Income Taxes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and 2022, the Company recorded a full valuation allowance on federal and state net deferred tax assets since management does not forecast the Company to be in a taxable position in the near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Net Loss per Share</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excluded all outstanding stock options and restricted stock awards at each period end from the computation of diluted net loss per share attributable to common stockholders for the periods indicated because including them would have had an anti-dilutive effect. The following common stock equivalents were excluded from the calculation of diluted net loss per share:</w:t>
      </w:r>
    </w:p>
    <w:p>
      <w:pPr>
        <w:spacing w:after="0" w:line="183"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b w:val="1"/>
          <w:bCs w:val="1"/>
          <w:color w:val="auto"/>
        </w:rPr>
        <w:t>As of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100" w:type="dxa"/>
            <w:vAlign w:val="bottom"/>
          </w:tcPr>
          <w:p>
            <w:pPr>
              <w:spacing w:after="0"/>
              <w:rPr>
                <w:sz w:val="14"/>
                <w:szCs w:val="14"/>
                <w:color w:val="auto"/>
              </w:rPr>
            </w:pPr>
          </w:p>
        </w:tc>
        <w:tc>
          <w:tcPr>
            <w:tcW w:w="150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Borders>
              <w:top w:val="single" w:sz="8" w:color="auto"/>
            </w:tcBorders>
          </w:tcPr>
          <w:p>
            <w:pPr>
              <w:spacing w:after="0"/>
              <w:rPr>
                <w:sz w:val="14"/>
                <w:szCs w:val="14"/>
                <w:color w:val="auto"/>
              </w:rPr>
            </w:pPr>
          </w:p>
        </w:tc>
        <w:tc>
          <w:tcPr>
            <w:tcW w:w="2640" w:type="dxa"/>
            <w:vAlign w:val="bottom"/>
            <w:tcBorders>
              <w:top w:val="single" w:sz="8" w:color="auto"/>
            </w:tcBorders>
            <w:gridSpan w:val="2"/>
          </w:tcPr>
          <w:p>
            <w:pPr>
              <w:jc w:val="right"/>
              <w:ind w:right="9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50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5,310,011</w:t>
            </w:r>
          </w:p>
        </w:tc>
        <w:tc>
          <w:tcPr>
            <w:tcW w:w="260" w:type="dxa"/>
            <w:vAlign w:val="bottom"/>
            <w:shd w:val="clear" w:color="auto" w:fill="CFF0FC"/>
          </w:tcPr>
          <w:p>
            <w:pPr>
              <w:spacing w:after="0"/>
              <w:rPr>
                <w:sz w:val="20"/>
                <w:szCs w:val="20"/>
                <w:color w:val="auto"/>
              </w:rPr>
            </w:pPr>
          </w:p>
        </w:tc>
        <w:tc>
          <w:tcPr>
            <w:tcW w:w="2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5,238,796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374,899</w:t>
            </w:r>
          </w:p>
        </w:tc>
        <w:tc>
          <w:tcPr>
            <w:tcW w:w="26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shares to be purchased under 2020 ESPP</w:t>
            </w:r>
          </w:p>
        </w:tc>
        <w:tc>
          <w:tcPr>
            <w:tcW w:w="15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47,974</w:t>
            </w:r>
          </w:p>
        </w:tc>
        <w:tc>
          <w:tcPr>
            <w:tcW w:w="260" w:type="dxa"/>
            <w:vAlign w:val="bottom"/>
            <w:tcBorders>
              <w:bottom w:val="single" w:sz="8" w:color="CFF0FC"/>
            </w:tcBorders>
            <w:shd w:val="clear" w:color="auto" w:fill="CFF0FC"/>
          </w:tcPr>
          <w:p>
            <w:pPr>
              <w:spacing w:after="0"/>
              <w:rPr>
                <w:sz w:val="21"/>
                <w:szCs w:val="21"/>
                <w:color w:val="auto"/>
              </w:rPr>
            </w:pPr>
          </w:p>
        </w:tc>
        <w:tc>
          <w:tcPr>
            <w:tcW w:w="2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5,732,884</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5,262,365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12</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61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10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3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-650875</wp:posOffset>
            </wp:positionV>
            <wp:extent cx="77470"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Related Parties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consulting agreements with two members of its board of directors; one of which waived his consulting fees starting as of September 2021. Total consulting fees paid in each of the three months ended March 31, 2023 and 2022, were $8.3 and $25.0, respectively. There were no amounts owed under the consulting agreements as of March 31, 2023.</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our unaudited financial statements and the related notes and other financial information included in this Quarterly Report on Form 10-Q and our audited financial statements and notes thereto as of and for the years ended December 31, 2022 and 2021 and the related Management’s Discussion and Analysis of Financial Condition and Results of Operations, including Contractual Obligations and Commitments, and Critical Accounting Policies and Significant Judgments and Estimates, included in our Annual Report on Form 10-K for the fiscal year ended December 31, 2022 filed with the Securities and Exchange Commission, or the SEC, on March 1, 2023. Unless the context requires otherwise, references in this Quarterly Report on Form 10-Q to “we,” “us,” and “our” refer to PMV Pharmaceuticals, Inc.</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Quarterly Report on Form 10-Q contains forward-looking statements that involve risks, uncertainties, and assumptions. Our actual results may differ materially from those anticipated in these forward-looking statements as a result of various factors, including but not limited to those set forth under the captions “Special Note Regarding Forward-Looking Statements,” “Item 1A. Risk Factors” and elsewhere in our Annual Report on Form 10-K for the fiscal year ended December 31, 2022, as updated by our subsequent filings under the Securities Exchange Act of 1934, as amended. Furthermore, past operating results are not necessarily indicative of results that may occur in future periods.</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 In addition, we are expanding the utilization of our platform to target other p53-related cancers.</w:t>
      </w:r>
    </w:p>
    <w:p>
      <w:pPr>
        <w:spacing w:after="0" w:line="8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Since our formation in March 2013, we have devoted substantially all of our time and efforts to performing research and development activities and raising capital. We are not profitable and have incurred losses in each year since our inception. Our net losses were $73.3 million and $57.8 million for the years ended December 31, 2022 and 2021, respectively. During the three months ended March 31, 2023, the Company incurred a net loss of $19.1 million. As of March 31, 2023, we had an accumulated deficit of $260.2 million. We do not currently have any product candidates approved for sale, and we continue to incur significant research and development and general administrative expenses related to our operations. We initiated a Phase 1/2 clinical trial in October 2020 for our lead product candidate, PC14586. In October 2020, we were granted FDA Fast Track Designation of PC14586 for the treatment of patients with locally advanced or metastatic solid tumors that have a p53 Y220C mutation. We dosed our first patient in this clinical trial in the fourth quarter of 2020. In June 2022, we presented our initial Phase 1 clinical data for PC14586. We expect that our operating expenses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Furthermore, we have incurred and will continue to incur additional costs associated with operating as a public company that we did not experience as a private company. We expect to continue to incur significant losses for the foreseeable future.</w:t>
      </w:r>
    </w:p>
    <w:p>
      <w:pPr>
        <w:spacing w:after="0" w:line="8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75" w:lineRule="exact"/>
        <w:rPr>
          <w:sz w:val="20"/>
          <w:szCs w:val="20"/>
          <w:color w:val="auto"/>
        </w:rPr>
      </w:pPr>
    </w:p>
    <w:p>
      <w:pPr>
        <w:jc w:val="both"/>
        <w:ind w:right="900" w:firstLine="509"/>
        <w:spacing w:after="0" w:line="266" w:lineRule="auto"/>
        <w:rPr>
          <w:sz w:val="20"/>
          <w:szCs w:val="20"/>
          <w:color w:val="auto"/>
        </w:rPr>
      </w:pPr>
      <w:r>
        <w:rPr>
          <w:rFonts w:ascii="Times New Roman" w:cs="Times New Roman" w:eastAsia="Times New Roman" w:hAnsi="Times New Roman"/>
          <w:sz w:val="18"/>
          <w:szCs w:val="18"/>
          <w:color w:val="auto"/>
        </w:rPr>
        <w:t>We plan to continue to use third-party service providers, including clinical research organizations, or CROs, and contract manufacturing organization, or CMOs, to carry out our preclinical and clinical development and to manufacture and supply the materials to be used during the development and commercialization of our product candidates. We do not currently have a sales force.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To date, we have not generated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to conduct research, such as the discovery and development of our product candidates as well as the development of future product candidates. Research and development expenses include personnel costs, including stock-based compensation expense, third-party contractor services, laboratory materials and supplies, and depreciation and maintenance of research equipment. We expense research and development costs as they are incurred.</w:t>
      </w:r>
    </w:p>
    <w:p>
      <w:pPr>
        <w:spacing w:after="0" w:line="7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we are at a very early stage of development, we do not allocate our costs by product candidate or development program, as a significant amount of research and development expenses include compensation costs, materials, supplies, depreciation on and maintenance of research equipment, and the cost of services provided by outside contractors, which are not tracked by product candidate or development program. In particular, with respect to internal costs, several of our departments support multiple product candidate research and development programs, and therefore the costs cannot be allocated to a particular product candidate or development program. Substantially all of our research and development costs are associated with our lead product candidate, PC14586. We initiated a Phase 1/2 clinical trial in October 2020 for our lead product candidate, PC14586. In October 2020, we were granted FDA Fast Track Designation of PC14586 for the treatment of patients with locally advanced or metastatic solid tumors that have a p53 Y220C mutation. We dosed our first patient in this clinical trial in the fourth quarter of 2020. In June 2022, we presented our initial Phase 1 clinical data for PC14586 at the 2022 ASCO Annual Meeting.</w:t>
      </w:r>
    </w:p>
    <w:p>
      <w:pPr>
        <w:spacing w:after="0" w:line="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in absolute dollars in the future as we advance our product candidates into and through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any future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 services and other consulting fees. Allocated expenses consist of rent expense related to our office and research and development facilities. We have incurred additional expenses as a public company, including expenses related to compliance with the rules and regulations of the SEC, and those of any national securities exchange on which our securities are traded, additional insurance expenses, investor relations activities and other administrative and professional services. We have increased our headcount significantly to support our operations as a public company. We also expect to increase our general and administrative expenses as we advance our product candidates through preclinical research and development, manufacturing, clinical development, and commercialization.</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short-term marketable securities and interest costs related to amortization of premiums and discounts on short-term marketable securities.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19" w:name="page20"/>
    <w:bookmarkEnd w:id="19"/>
    <w:p>
      <w:pPr>
        <w:ind w:left="48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2023 and 2022.</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232"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6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433"/>
              <w:spacing w:after="0" w:line="131"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433"/>
              <w:spacing w:after="0" w:line="131"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200" w:type="dxa"/>
            <w:vAlign w:val="bottom"/>
          </w:tcPr>
          <w:p>
            <w:pPr>
              <w:spacing w:after="0"/>
              <w:rPr>
                <w:sz w:val="16"/>
                <w:szCs w:val="16"/>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6"/>
                <w:szCs w:val="16"/>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15,073</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11,836</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00" w:type="dxa"/>
            <w:vAlign w:val="bottom"/>
          </w:tcPr>
          <w:p>
            <w:pPr>
              <w:spacing w:after="0"/>
              <w:rPr>
                <w:sz w:val="20"/>
                <w:szCs w:val="20"/>
                <w:color w:val="auto"/>
              </w:rPr>
            </w:pPr>
          </w:p>
        </w:tc>
      </w:tr>
      <w:tr>
        <w:trPr>
          <w:trHeight w:val="243"/>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(376 )</w:t>
            </w:r>
          </w:p>
        </w:tc>
      </w:tr>
      <w:tr>
        <w:trPr>
          <w:trHeight w:val="241"/>
        </w:trPr>
        <w:tc>
          <w:tcPr>
            <w:tcW w:w="66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21,480</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18,619</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shd w:val="clear" w:color="auto" w:fill="CFF0FC"/>
          </w:tcPr>
          <w:p>
            <w:pPr>
              <w:spacing w:after="0"/>
              <w:rPr>
                <w:sz w:val="21"/>
                <w:szCs w:val="21"/>
                <w:color w:val="auto"/>
              </w:rPr>
            </w:pPr>
          </w:p>
        </w:tc>
      </w:tr>
      <w:tr>
        <w:trPr>
          <w:trHeight w:val="243"/>
        </w:trPr>
        <w:tc>
          <w:tcPr>
            <w:tcW w:w="6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spacing w:after="0"/>
              <w:rPr>
                <w:sz w:val="21"/>
                <w:szCs w:val="21"/>
                <w:color w:val="auto"/>
              </w:rPr>
            </w:pPr>
          </w:p>
        </w:tc>
      </w:tr>
      <w:tr>
        <w:trPr>
          <w:trHeight w:val="23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(21,480 )</w:t>
            </w:r>
          </w:p>
        </w:tc>
        <w:tc>
          <w:tcPr>
            <w:tcW w:w="2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(18,619 )</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(2,861 )</w:t>
            </w:r>
          </w:p>
        </w:tc>
      </w:tr>
      <w:tr>
        <w:trPr>
          <w:trHeight w:val="236"/>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(41 )</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r>
      <w:tr>
        <w:trPr>
          <w:trHeight w:val="241"/>
        </w:trPr>
        <w:tc>
          <w:tcPr>
            <w:tcW w:w="66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tcPr>
          <w:p>
            <w:pPr>
              <w:spacing w:after="0"/>
              <w:rPr>
                <w:sz w:val="20"/>
                <w:szCs w:val="20"/>
                <w:color w:val="auto"/>
              </w:rPr>
            </w:pPr>
          </w:p>
        </w:tc>
      </w:tr>
      <w:tr>
        <w:trPr>
          <w:trHeight w:val="241"/>
        </w:trPr>
        <w:tc>
          <w:tcPr>
            <w:tcW w:w="66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spacing w:after="0"/>
              <w:rPr>
                <w:sz w:val="20"/>
                <w:szCs w:val="20"/>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before (benefit) provision for income taxes</w:t>
            </w:r>
          </w:p>
        </w:tc>
        <w:tc>
          <w:tcPr>
            <w:tcW w:w="20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(19,128 )</w:t>
            </w:r>
          </w:p>
        </w:tc>
        <w:tc>
          <w:tcPr>
            <w:tcW w:w="2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(18,431 )</w:t>
            </w: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(697 )</w:t>
            </w:r>
          </w:p>
        </w:tc>
      </w:tr>
      <w:tr>
        <w:trPr>
          <w:trHeight w:val="243"/>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41"/>
        </w:trPr>
        <w:tc>
          <w:tcPr>
            <w:tcW w:w="66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5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(19,128 )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(18,433 )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(695 )</w:t>
            </w: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-2228215</wp:posOffset>
            </wp:positionV>
            <wp:extent cx="68580" cy="163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-2228215</wp:posOffset>
            </wp:positionV>
            <wp:extent cx="68580" cy="163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163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-1602105</wp:posOffset>
            </wp:positionV>
            <wp:extent cx="68580" cy="162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-1602105</wp:posOffset>
            </wp:positionV>
            <wp:extent cx="68580" cy="1625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162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-342265</wp:posOffset>
            </wp:positionV>
            <wp:extent cx="68580" cy="163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-342265</wp:posOffset>
            </wp:positionV>
            <wp:extent cx="68580" cy="163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1631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periods indicated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2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6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right"/>
              <w:ind w:right="438"/>
              <w:spacing w:after="0" w:line="131"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right"/>
              <w:ind w:right="415"/>
              <w:spacing w:after="0" w:line="131"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6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28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 related</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15,073</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11,836</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$15.1 million for the three months ended March 31, 2023, compared to $11.8 million for the three months ended March 31, 2022. The increase of $3.3 million, compared to the three months ended March 31, 2022, was primarily due to the following:</w:t>
      </w:r>
    </w:p>
    <w:p>
      <w:pPr>
        <w:spacing w:after="0" w:line="54" w:lineRule="exact"/>
        <w:rPr>
          <w:sz w:val="20"/>
          <w:szCs w:val="20"/>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decrease in research expenses, largely driven by decreased contractual research organization costs;</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million increase in development expenses associated with advancing our lead product candidate, PC14586, through the Phase 1/2 clinical trial;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million increase in expenses for personnel related costs and stock-based compensation, primarily driven by increased headcount.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$6.4 million for the three months ended March 31, 2023, compared to $6.8 million for the three months ended March 31, 2022. The decrease of $0.4 million, compared to the three months ended March 31, 2022, was primarily due to following:</w:t>
      </w:r>
    </w:p>
    <w:p>
      <w:pPr>
        <w:spacing w:after="0" w:line="54" w:lineRule="exact"/>
        <w:rPr>
          <w:sz w:val="20"/>
          <w:szCs w:val="20"/>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decrease in finance and legal related expense due to decreased audit fees;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decrease in insurance expenses;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increase due to facility related costs for our new office and laboratory building in Princeton, New Jersey.</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marketable securities and interest costs related to amortization of premiums and discounts on marketable securities. Interest income, net was $2.3 million for the three months ended March 31, 2023. The increase of $2.1 million compared to the three months ended March 31, 2022, is driven by increased interest rates from cash and investments in marketable securities and U.S treasuries during the three months ended March 31, 2023.</w:t>
      </w:r>
    </w:p>
    <w:p>
      <w:pPr>
        <w:spacing w:after="0" w:line="28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financial condition is summarized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60" w:type="dxa"/>
            <w:vAlign w:val="bottom"/>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4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142,942</w:t>
            </w:r>
          </w:p>
        </w:tc>
        <w:tc>
          <w:tcPr>
            <w:tcW w:w="56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108,297</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34,645</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Marketable securities - current</w:t>
            </w: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86,492</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132,757</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(46,265 )</w:t>
            </w:r>
          </w:p>
        </w:tc>
      </w:tr>
      <w:tr>
        <w:trPr>
          <w:trHeight w:val="243"/>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 - noncurrent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(2,495 )</w:t>
            </w:r>
          </w:p>
        </w:tc>
      </w:tr>
      <w:tr>
        <w:trPr>
          <w:trHeight w:val="276"/>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financial assets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229,434</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243,549</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6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233,278</w:t>
            </w:r>
          </w:p>
        </w:tc>
        <w:tc>
          <w:tcPr>
            <w:tcW w:w="56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247,006</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(13,728 )</w:t>
            </w:r>
          </w:p>
        </w:tc>
      </w:tr>
      <w:tr>
        <w:trPr>
          <w:trHeight w:val="247"/>
        </w:trPr>
        <w:tc>
          <w:tcPr>
            <w:tcW w:w="6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10,590</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(242 )</w:t>
            </w:r>
          </w:p>
        </w:tc>
      </w:tr>
      <w:tr>
        <w:trPr>
          <w:trHeight w:val="20"/>
        </w:trPr>
        <w:tc>
          <w:tcPr>
            <w:tcW w:w="66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working capital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222,688</w:t>
            </w:r>
          </w:p>
        </w:tc>
        <w:tc>
          <w:tcPr>
            <w:tcW w:w="260" w:type="dxa"/>
            <w:vAlign w:val="bottom"/>
          </w:tcPr>
          <w:p>
            <w:pPr>
              <w:spacing w:after="0"/>
              <w:rPr>
                <w:sz w:val="20"/>
                <w:szCs w:val="20"/>
                <w:color w:val="auto"/>
              </w:rPr>
            </w:pP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236,174</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(13,486 )</w:t>
            </w:r>
          </w:p>
        </w:tc>
      </w:tr>
      <w:tr>
        <w:trPr>
          <w:trHeight w:val="20"/>
        </w:trPr>
        <w:tc>
          <w:tcPr>
            <w:tcW w:w="6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-831215</wp:posOffset>
            </wp:positionV>
            <wp:extent cx="2057400" cy="1797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05740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-187960</wp:posOffset>
            </wp:positionV>
            <wp:extent cx="68580"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68580"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any product sales or any other sources and have incurred significant operating losses and negative cash flows from our operations. We have not yet commercialized any of our product candidates and we do not expect to generate revenue from sales of any product candidates for several years, if at all. As of March 31, 2023, we had cash, cash equivalents, and marketable securities of $229.4 million and an accumulated deficit of $260.2 million. In September 2020, we completed an IPO of 13,529,750 shares of our common stock, which includes the exercise in full by the underwriters of their option to purchase 1,764,750 additional shares of common stock, at a public offering price of $18.00 per share for aggregate gross proceeds of $243.5 million. We received $223.2 million in net proceeds after deducting underwriting discounts and commissions and other offering expenses payable by us.</w:t>
      </w:r>
    </w:p>
    <w:p>
      <w:pPr>
        <w:spacing w:after="0" w:line="8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have a shelf registration statement on Form S-3 on file with the SEC, which registers the offering, issuance, and sale of up to $200 million of various equity and debt securities and up to $150 million of common stock pursuant to our at-the-market equity offering program, dated October 4, 2021, or the ATM program. As of March 31, 2023, we have not sold any securities under the shelf registration statement on Form S-3 or under our ATM program.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and other vendors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1" w:name="page22"/>
    <w:bookmarkEnd w:id="21"/>
    <w:p>
      <w:pPr>
        <w:ind w:firstLine="509"/>
        <w:spacing w:after="0" w:line="261" w:lineRule="auto"/>
        <w:rPr>
          <w:sz w:val="20"/>
          <w:szCs w:val="20"/>
          <w:color w:val="auto"/>
        </w:rPr>
      </w:pPr>
      <w:r>
        <w:rPr>
          <w:rFonts w:ascii="Times New Roman" w:cs="Times New Roman" w:eastAsia="Times New Roman" w:hAnsi="Times New Roman"/>
          <w:sz w:val="18"/>
          <w:szCs w:val="18"/>
          <w:color w:val="auto"/>
        </w:rPr>
        <w:t>In January 2021, we signed a lease for 50,581 square feet of office and laboratory space at One Research Way in Princeton, New Jersey. That lease term extends through 2032, has a five-year extension option, and is intended to replace our two existing facilities. Payments under this lease will total $19.9 million through May 2032. Amounts related to future lease payments as of March 31, 2023, totaled $18.7 million, with $2.1 million to be paid within the next 12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 and Future Funding Requirements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use our capital resources primarily to fund operating expenses, mainly research and development expenditures. We plan to increase our research and development expenses for the foreseeable future as we continue the preclinical and clinical development of our product candidates. At this time, due to the inherently unpredictable nature of preclinical and clinical development and given the early stage of our product candidates, we cannot reasonably estimate the costs we will incur and the timelines that will be required to complete development, obtain marketing approval and commercialize our current product candidates or any future product candidates, if at all.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Due to our significant research and development expenditures, we have generated substantial operating losses in each period since inception. We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incurred an accumulated deficit of $260.2 million through March 31, 2023. We expect to incur substantial additional losses in the future as we expand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research and development activities. For the three months ended March 31, 2023 and 2022, our cash operating expenditures were $15.0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$18.0 million, respectively. We expect to increase our investment in operations in the remainder of 2023 and 2024. Based on our research and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plans, we expect that our cash, cash equivalents and marketable securities as of March 31, 2023 will be sufficient to fund our operations at least through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based this estimate on assumptions that may prove to be wrong, however, and we could use our capital resources sooner than we expect.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timing and amount of our operating expenditures will depend largely on:</w:t>
      </w:r>
    </w:p>
    <w:p>
      <w:pPr>
        <w:spacing w:after="0" w:line="117" w:lineRule="exact"/>
        <w:rPr>
          <w:sz w:val="20"/>
          <w:szCs w:val="20"/>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payments we may receive under any future collaboration agreements;</w:t>
      </w:r>
    </w:p>
    <w:p>
      <w:pPr>
        <w:spacing w:after="0" w:line="117" w:lineRule="exact"/>
        <w:rPr>
          <w:rFonts w:ascii="Times New Roman" w:cs="Times New Roman" w:eastAsia="Times New Roman" w:hAnsi="Times New Roman"/>
          <w:sz w:val="18"/>
          <w:szCs w:val="18"/>
          <w:color w:val="auto"/>
        </w:rPr>
      </w:pPr>
    </w:p>
    <w:p>
      <w:pPr>
        <w:ind w:left="900" w:right="800" w:hanging="383"/>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future licenses and research and development programs and to establish new collaboration and/or in-licensing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and other intellectual property claims;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approvals; and</w:t>
      </w:r>
    </w:p>
    <w:p>
      <w:pPr>
        <w:spacing w:after="0" w:line="117" w:lineRule="exact"/>
        <w:rPr>
          <w:rFonts w:ascii="Times New Roman" w:cs="Times New Roman" w:eastAsia="Times New Roman" w:hAnsi="Times New Roman"/>
          <w:sz w:val="18"/>
          <w:szCs w:val="18"/>
          <w:color w:val="auto"/>
        </w:rPr>
      </w:pPr>
    </w:p>
    <w:p>
      <w:pPr>
        <w:ind w:left="900" w:right="520" w:hanging="383"/>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build out our new office and laboratory headquarters, enhance operational systems and hire additional personnel, including personnel to support development of our product candidates and satisfy our obligations as a public company.</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or our ability to incur additional indebtedness or pay dividends, among other items. If we raise additional funds through governmental funding, 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not able to secure adequate additional funding, we may be forced to make reductions in spending, extend payment terms with suppliers, liquidate assets where possible, and/or suspend or curtail planned programs. Any of these actions could materially and adversely affect our business, financial condition, results of operations and prospects.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 indicated (in thousands):</w:t>
      </w:r>
    </w:p>
    <w:p>
      <w:pPr>
        <w:spacing w:after="0" w:line="232"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77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556"/>
              <w:spacing w:after="0" w:line="131"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556"/>
              <w:spacing w:after="0" w:line="131"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1"/>
                <w:szCs w:val="11"/>
                <w:color w:val="auto"/>
              </w:rPr>
            </w:pPr>
          </w:p>
        </w:tc>
      </w:tr>
      <w:tr>
        <w:trPr>
          <w:trHeight w:val="187"/>
        </w:trPr>
        <w:tc>
          <w:tcPr>
            <w:tcW w:w="7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6"/>
                <w:szCs w:val="16"/>
                <w:color w:val="auto"/>
              </w:rPr>
            </w:pPr>
          </w:p>
        </w:tc>
        <w:tc>
          <w:tcPr>
            <w:tcW w:w="1400" w:type="dxa"/>
            <w:vAlign w:val="bottom"/>
            <w:gridSpan w:val="2"/>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(15,012</w:t>
            </w:r>
          </w:p>
        </w:tc>
        <w:tc>
          <w:tcPr>
            <w:tcW w:w="300" w:type="dxa"/>
            <w:vAlign w:val="bottom"/>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(used in) investing activities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(38,825 )</w:t>
            </w: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7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spacing w:after="0"/>
              <w:rPr>
                <w:sz w:val="20"/>
                <w:szCs w:val="20"/>
                <w:color w:val="auto"/>
              </w:rPr>
            </w:pPr>
          </w:p>
        </w:tc>
      </w:tr>
      <w:tr>
        <w:trPr>
          <w:trHeight w:val="25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34,645</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(56,695 )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-342265</wp:posOffset>
            </wp:positionV>
            <wp:extent cx="76835" cy="1625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162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2023, was $15.0 million, which consisted primarily of net loss of $19.1 million partially offset by non-cash charges of $2.3 million. Changes in our net operating assets increased operating cash by $1.8 million. The non-cash charges primarily consisted of stock-based compensation of $2.9 million, accretion of premiums on marketable securities of $0.7 million, depreciation of $0.2 million, and non-cash lease expense of $0.1 million. The change in our net operating assets and liabilities was primarily due to a decrease in prepaid expenses and other assets, an increase in accrued expenses, offset by a decrease in outstanding payables.</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2022, was $18.0 million, which consisted primarily of net loss of $18.4 million partially offset by non-cash charges of $2.4 million. Changes in our net operating assets decreased operating cash by $2.0 million. The non-cash charges primarily consisted of stock-based compensation of $2.2 million, depreciation and amortization of $0.1 million, and non-cash lease expense of $0.1 million. The change in our net operating assets and liabilities was primarily due to an increase in prepaid expenses and other assets, a decrease in accrued expenses, an increase in outstanding payables, and an increase in operating lease right of use assets and liabilities driven by a cash reimbursement of $0.8 million for the buildout of the new office building in Princeton, New Jersey.</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Our investing activities provided $49.6 million of cash during the three months ended March 31, 2023, which consisted primarily of maturities of marketable securities of $73.3 million, purchases of marketable securities of $23.5 million, along with purchase of property and equipment of $0.2 million.</w:t>
      </w:r>
    </w:p>
    <w:p>
      <w:pPr>
        <w:spacing w:after="0" w:line="54"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Our investing activities used $38.8 million of cash during the three months ended March 31, 2022, which consisted primarily of purchases of marketable securities of $93.7 million, along with purchase of property and equipment of $0.8 million, partially offset by maturities of marketable securities of $55.7 million.</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financing activities generated no change in cash during the three months ended March 31, 2023.</w:t>
      </w:r>
    </w:p>
    <w:p>
      <w:pPr>
        <w:spacing w:after="0" w:line="11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Our financing activities provided $0.1 million of cash during the three months ended March 31, 2022, which consisted primarily of proceeds from the exercise of stock options.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preparation of our financial statements in conformity with accounting principles generally accepted in the United States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7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believe that the accounting policies described below involve a high degree of judgment and complexity. Accordingly, these are the policies we believe are the most critical to aid in fully understanding and evaluating our financial condition and results of our operations. During the three-month period ended March 31, 2023, there were no material changes to our critical accounting policies from those described in our audited financial statements for the year ended December 31, 2022, included in our Annual Report on Form 10-K filed with the SEC on March 1, 2023, except as noted below.</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 Accrued Research and Development Costs and Related Prepaid Expenses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principally of personnel costs, including salaries, stock-based compensation and benefits for employees, third-party license fees and other operational costs related to our research and development activities, including sourcing of raw materials and manufacturing of our product candidates, allocated facility-related expenses and external costs of outside vendors, and other direct and indirect costs. Non-refundable research and development advance payments are deferred and capitalized. The capitalized amounts are expensed as the related goods are delivered or services are performed.</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financial statements based on facts and circumstances known to us at that time. We periodically confirm the accuracy of the estimates with the service providers and make adjustments if necessary. Examples of estimated accrued research and development expenses include fees paid to:</w:t>
      </w:r>
    </w:p>
    <w:p>
      <w:pPr>
        <w:spacing w:after="0" w:line="81" w:lineRule="exact"/>
        <w:rPr>
          <w:sz w:val="20"/>
          <w:szCs w:val="20"/>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including research laboratories, in connection with preclinical development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preclinical studies and clinical trials;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drug substance and drug product formulation of preclinical studies and clinical trial materials.</w:t>
      </w:r>
    </w:p>
    <w:p>
      <w:pPr>
        <w:spacing w:after="0" w:line="11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base our expenses related to preclinical studies and clinical trials on our estimates of the services received and efforts expended pursuant to quotes and contracts with multiple research institutions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measure all stock options and other stock-based awards granted to our employees, directors, consultants, and other non-employee service providers based on the fair value on the date of the grant. Compensation expense related to awards to employees and directors with service-based vesting conditions is recognized on a straight-line basis based on the grant date fair value over the associated service period of the award, which is typically the vesting term.</w:t>
      </w:r>
    </w:p>
    <w:p>
      <w:pPr>
        <w:spacing w:after="0" w:line="7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classify stock-based compensation expense in our statement of operations in the same way the award recipient’s payroll costs are classified or in which the award recipients’ service payments are classified.</w:t>
      </w:r>
    </w:p>
    <w:p>
      <w:pPr>
        <w:spacing w:after="0" w:line="54"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We use the Black-Scholes option pricing model to estimate the fair value of stock options on the date of grant. Using the Black-Scholes option pricing model requires management to make significant assumptions and judgments. We determined these assumptions for the Black-Scholes option-pricing model.</w:t>
      </w:r>
    </w:p>
    <w:p>
      <w:pPr>
        <w:spacing w:after="0" w:line="68"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Expected volatility was derived from the average historical stock volatility of our common stock over a period equivalent to the expected term of the stock-based awards if data was available, and over the longest period for which trading activity is available if data matching the expected term was unavailable.</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For a description of recent accounting pronouncements, see Note 2 of the notes to our unaudited condensed financial statements for the three months ended March 31, 2023 included elsewhere in this Quarterly Report on Form 10-Q.</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 risks.</w:t>
      </w:r>
    </w:p>
    <w:p>
      <w:pPr>
        <w:spacing w:after="0" w:line="11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had cash, cash equivalents, and marketable securities of $229.4 million and restricted cash of $0.8 million as of March 31, 2023. The Company’s cash equivalents consist of interest-bearing U.S. treasury securities, money market funds, and corporate debt securities. Our exposure due to changes in interest rates is not material due to the nature and amount of our money-market funds and short-term marketable securities.</w:t>
      </w:r>
    </w:p>
    <w:p>
      <w:pPr>
        <w:spacing w:after="0" w:line="68"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are not currently exposed to significant market risk related to changes in foreign currency exchange rates; however, we may contract with foreign vendors that are located outside the United States in the future. This may subject us to fluctuations in foreign currency exchange rates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information required to be disclosed in our Securities Exchange Act of 1934, as amended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8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We carry out a variety of ongoing procedures, under the supervision and with the participation of our management, including our Chief Executive Officer and Chief Financial Officer, to evaluate the effectiveness of the design and operation of our disclosure controls and procedures. Based on the foregoing, our Chief Executive Officer and Chief Financial Officer concluded that our disclosure controls and procedures were effective at the reasonable assurance level as of March 31, 2023.</w:t>
      </w:r>
    </w:p>
    <w:p>
      <w:pPr>
        <w:spacing w:after="0" w:line="7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during our most recent fiscal quarter that have materially affected, or are reasonably likely to materially affect, our internal control over financial reporting.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are not currently involved in any litigation or legal proceedings that, in management’s opinion, are likely to have any material adverse effect on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7"/>
          <w:szCs w:val="17"/>
          <w:color w:val="auto"/>
        </w:rPr>
        <w:t>Other than as described below, there have been no material changes to the Company’s risk factors as set forth in Part I, Item 1A of the Company’s Annual Report on Form 10-K for the fiscal year ended December 31, 2022, as filed with the SEC on March 1, 2023. You should carefully review and consider the information regarding certain factors which could materially affect our business, financial condition or future results set forth under the heading “Risk Factors” in our Annual Report on Form 10-K for the fiscal year ended December 31, 2022, as filed with the SEC on March 1, 2023.</w:t>
      </w:r>
    </w:p>
    <w:p>
      <w:pPr>
        <w:spacing w:after="0" w:line="52" w:lineRule="exact"/>
        <w:rPr>
          <w:sz w:val="20"/>
          <w:szCs w:val="20"/>
          <w:color w:val="auto"/>
        </w:rPr>
      </w:pPr>
    </w:p>
    <w:p>
      <w:pPr>
        <w:ind w:right="1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in the future. If we are unable to raise such capital when needed, or on acceptable terms, we may be forced to delay, reduce and/or eliminate one or more of our research and product development programs or future commercialization efforts.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PC14586, and advance our future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or other regulatory agencies to perform preclinical studies or clinical trials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Accordingly, we will need to obtain substantial additional funding in order to continue our operations.</w:t>
      </w:r>
    </w:p>
    <w:p>
      <w:pPr>
        <w:spacing w:after="0" w:line="80"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8"/>
          <w:szCs w:val="18"/>
          <w:color w:val="auto"/>
        </w:rPr>
        <w:t>As of December 31, 2022, we had $243.5 million in cash, cash equivalents, and marketable securities. Although we believe that our available cash, cash equivalents, and marketable securities will be sufficient to fund our planned operations at least through 2024, this belief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 This belief also does not reflect the possibility that we may not be able to access a portion of our existing cash and cash equivalents due to market conditions. For example, recent events surrounding certain banks, including Silicon Valley Bank, First Republic Bank and Signature Bank, created temporary uncertainty on their customers’ cash deposits in excess of the Federal Deposit Insurance Corporation, or the FDIC, limits prior to actions taken by governmental entities. Although we did not have any cash or cash equivalents on deposit with the affected banks, if other banks and financial institutions enter receivership or become insolvent in the future in response to financial conditions affecting the banking system and financial markets, our ability to access our existing cash and cash equivalents may be threatened and could have a material adverse effect on our business and financial condition.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United States, or that any bank or financial institution with which we do business will be able to obtain needed liquidity from other banks, government institutions or by acquisition in the event of a failure or liquidity crisis.</w:t>
      </w:r>
    </w:p>
    <w:p>
      <w:pPr>
        <w:spacing w:after="0" w:line="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depend on many factors, including:</w:t>
      </w:r>
    </w:p>
    <w:p>
      <w:pPr>
        <w:spacing w:after="0" w:line="117" w:lineRule="exact"/>
        <w:rPr>
          <w:sz w:val="20"/>
          <w:szCs w:val="20"/>
          <w:color w:val="auto"/>
        </w:rPr>
      </w:pPr>
    </w:p>
    <w:p>
      <w:pPr>
        <w:ind w:left="1020" w:right="4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current product candidates or any future product candidates we choose to pursue, and conducting preclinical studies and clinical trials, including our clinical trials of PC14586;</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our product candidates or any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any additional product candidates we develop or acquire;</w:t>
      </w:r>
    </w:p>
    <w:p>
      <w:pPr>
        <w:spacing w:after="0" w:line="117" w:lineRule="exact"/>
        <w:rPr>
          <w:rFonts w:ascii="Times New Roman" w:cs="Times New Roman" w:eastAsia="Times New Roman" w:hAnsi="Times New Roman"/>
          <w:sz w:val="18"/>
          <w:szCs w:val="18"/>
          <w:color w:val="auto"/>
        </w:rPr>
      </w:pPr>
    </w:p>
    <w:p>
      <w:pPr>
        <w:ind w:left="1020" w:right="94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milestone, royalty and/or other payments we are required to make pursuant to any future license or collaboration agreements;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6" w:name="page27"/>
    <w:bookmarkEnd w:id="26"/>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or any future product candidates and any products we successfully commercialize;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building a sales force in anticipation of product commercialization;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of our product candidates, if approved for sale, including marketing, sales, and distribution costs;</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future collaborations, licensing, or other arrangements and the financial terms of any such agreements, including the timing and amount of any future milestone, royalty, or other payments due under any such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other lawsuits related to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needed to attract, hire, and retain skilled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any future approved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which may exacerbate the magnitude of the factors discussed above;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conditions affecting the banking system and financial markets.</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do not have any committed external source of funds and adequate additional financing may not be available to us on acceptable terms, or at all. In addition, our ability to raise additional capital may be adversely impacted by potential worsening global economic conditions, inflation expectations, rising interest rates and the recent disruptions to and volatility in the credit and financial markets in the United States and worldwide resulting from the ongoing COVID-19 pandemic, geopolitical tensions, such as the Ukraine-Russia war, and global conditions affecting financial markets.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 Unregistered Sales of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 Use of Proceeds</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registration statement on Form S-1 (File No. 333-248627) relating to the IPO was declared effective by the SEC. The IPO closed on September 25, 2020 at which time we sold 13,529,750 shares of common stock (including the exercise in full by the underwriters of their option to purchase an additional 1,764,750 shares of common stock) at a public offering price of $18.00 per share. We received net proceeds from the IPO of approximately $223.2 million, after deducting the underwriting discounts and commissions of approximately $17.0 million and estimated offering related expenses of approximately $3.3 million. No offering expenses were paid or payable, directly, or indirectly, to our directors, officers, or persons owning 10% or more of any class of equity securities or to our affiliates. Goldman Sachs &amp; Co. LLC, BofA Securities, Cowen, and Evercore ISI acted as joint book-running managers for the offering.</w:t>
      </w:r>
    </w:p>
    <w:p>
      <w:pPr>
        <w:spacing w:after="0" w:line="8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the IPO from that described in the prospectus filed with the SEC pursuant to Rule 424(b)(4) under the Securities Act on September 24, 2020.</w:t>
      </w:r>
    </w:p>
    <w:p>
      <w:pPr>
        <w:spacing w:after="0" w:line="5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have a shelf registration statement on Form S-3 (File No. 333-260012), which was declared effective by the SEC on April 28, 2022. The shelf registration statement consists of (i) a base prospectus pursuant to which we may offer and sell, from time to time, up to $200 million of shares of our common stock, shares of our preferred stock, various series of debt securities and warrants to purchase any of such securities in one or more registered offerings, and (ii) a prospectus supplement pursuant to which we may offer and sell, from time to time, up to $150 million of shares of common stock in "at-the-market" offerings. The Company has not issued any securities pursuant to the shelf registration statement. There has been no material change in the planned use of proceeds as described in the shelf registration statement. None of the offering expenses were paid or payable, directly, or indirectly, to our directors, officers, or persons owning 10% or more of any class of equity securities or to our affiliates.</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27" w:name="page28"/>
    <w:bookmarkEnd w:id="27"/>
    <w:p>
      <w:pPr>
        <w:ind w:left="520"/>
        <w:spacing w:after="0"/>
        <w:rPr>
          <w:sz w:val="20"/>
          <w:szCs w:val="20"/>
          <w:color w:val="auto"/>
        </w:rPr>
      </w:pPr>
      <w:r>
        <w:rPr>
          <w:rFonts w:ascii="Times New Roman" w:cs="Times New Roman" w:eastAsia="Times New Roman" w:hAnsi="Times New Roman"/>
          <w:sz w:val="18"/>
          <w:szCs w:val="18"/>
          <w:i w:val="1"/>
          <w:iCs w:val="1"/>
          <w:color w:val="auto"/>
        </w:rPr>
        <w:t>(c) Issuer Purchases of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jc w:val="center"/>
        <w:ind w:right="8059"/>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center"/>
        <w:ind w:right="8019"/>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59"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94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00" w:type="dxa"/>
            <w:vAlign w:val="bottom"/>
            <w:gridSpan w:val="12"/>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80" w:type="dxa"/>
            <w:vAlign w:val="bottom"/>
            <w:vMerge w:val="restart"/>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580" w:type="dxa"/>
            <w:vAlign w:val="bottom"/>
            <w:vMerge w:val="restart"/>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0"/>
        </w:trPr>
        <w:tc>
          <w:tcPr>
            <w:tcW w:w="94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100" w:type="dxa"/>
            <w:vAlign w:val="bottom"/>
            <w:gridSpan w:val="1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4"/>
        </w:trPr>
        <w:tc>
          <w:tcPr>
            <w:tcW w:w="9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rPr>
              <w:t>3.1</w:t>
            </w:r>
          </w:p>
        </w:tc>
        <w:tc>
          <w:tcPr>
            <w:tcW w:w="5540" w:type="dxa"/>
            <w:vAlign w:val="bottom"/>
            <w:gridSpan w:val="15"/>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Amended and Restated Certificate of Incorporation of the Registrant</w:t>
              </w:r>
            </w:hyperlink>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9"/>
              </w:rPr>
              <w:t>001-39539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58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w w:val="99"/>
              </w:rPr>
              <w:t>September 29, 2020</w:t>
            </w:r>
          </w:p>
        </w:tc>
        <w:tc>
          <w:tcPr>
            <w:tcW w:w="0" w:type="dxa"/>
            <w:vAlign w:val="bottom"/>
          </w:tcPr>
          <w:p>
            <w:pPr>
              <w:spacing w:after="0"/>
              <w:rPr>
                <w:sz w:val="1"/>
                <w:szCs w:val="1"/>
                <w:color w:val="auto"/>
              </w:rPr>
            </w:pPr>
          </w:p>
        </w:tc>
      </w:tr>
      <w:tr>
        <w:trPr>
          <w:trHeight w:val="20"/>
        </w:trPr>
        <w:tc>
          <w:tcPr>
            <w:tcW w:w="940" w:type="dxa"/>
            <w:vAlign w:val="bottom"/>
            <w:vMerge w:val="restart"/>
          </w:tcPr>
          <w:p>
            <w:pPr>
              <w:jc w:val="center"/>
              <w:ind w:right="172"/>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40" w:type="dxa"/>
            <w:vAlign w:val="bottom"/>
            <w:vMerge w:val="continue"/>
          </w:tcPr>
          <w:p>
            <w:pPr>
              <w:spacing w:after="0"/>
              <w:rPr>
                <w:sz w:val="24"/>
                <w:szCs w:val="24"/>
                <w:color w:val="auto"/>
              </w:rPr>
            </w:pPr>
          </w:p>
        </w:tc>
        <w:tc>
          <w:tcPr>
            <w:tcW w:w="508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Amended and Restated Bylaws of the Registrant, as currently in effect</w:t>
              </w:r>
            </w:hyperlink>
          </w:p>
        </w:tc>
        <w:tc>
          <w:tcPr>
            <w:tcW w:w="20" w:type="dxa"/>
            <w:vAlign w:val="bottom"/>
            <w:tcBorders>
              <w:bottom w:val="single" w:sz="8" w:color="0000EE"/>
            </w:tcBorders>
          </w:tcPr>
          <w:p>
            <w:pPr>
              <w:spacing w:after="0"/>
              <w:rPr>
                <w:sz w:val="24"/>
                <w:szCs w:val="24"/>
                <w:color w:val="auto"/>
              </w:rPr>
            </w:pPr>
          </w:p>
        </w:tc>
        <w:tc>
          <w:tcPr>
            <w:tcW w:w="440" w:type="dxa"/>
            <w:vAlign w:val="bottom"/>
            <w:gridSpan w:val="7"/>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9"/>
              </w:rPr>
              <w:t>001-39539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580" w:type="dxa"/>
            <w:vAlign w:val="bottom"/>
          </w:tcPr>
          <w:p>
            <w:pPr>
              <w:jc w:val="center"/>
              <w:ind w:left="56"/>
              <w:spacing w:after="0"/>
              <w:rPr>
                <w:sz w:val="20"/>
                <w:szCs w:val="20"/>
                <w:color w:val="auto"/>
              </w:rPr>
            </w:pPr>
            <w:r>
              <w:rPr>
                <w:rFonts w:ascii="Times New Roman" w:cs="Times New Roman" w:eastAsia="Times New Roman" w:hAnsi="Times New Roman"/>
                <w:sz w:val="18"/>
                <w:szCs w:val="18"/>
                <w:color w:val="auto"/>
                <w:w w:val="99"/>
              </w:rPr>
              <w:t>September 29, 2020</w:t>
            </w:r>
          </w:p>
        </w:tc>
        <w:tc>
          <w:tcPr>
            <w:tcW w:w="0" w:type="dxa"/>
            <w:vAlign w:val="bottom"/>
          </w:tcPr>
          <w:p>
            <w:pPr>
              <w:spacing w:after="0"/>
              <w:rPr>
                <w:sz w:val="1"/>
                <w:szCs w:val="1"/>
                <w:color w:val="auto"/>
              </w:rPr>
            </w:pPr>
          </w:p>
        </w:tc>
      </w:tr>
      <w:tr>
        <w:trPr>
          <w:trHeight w:val="453"/>
        </w:trPr>
        <w:tc>
          <w:tcPr>
            <w:tcW w:w="9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7"/>
              </w:rPr>
              <w:t>3.3+</w:t>
            </w:r>
          </w:p>
        </w:tc>
        <w:tc>
          <w:tcPr>
            <w:tcW w:w="55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Amended and Restated Bylaws of the Registrant, to be effective on June 8,</w:t>
            </w: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4"/>
              </w:rPr>
              <w:t>2023</w:t>
            </w: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9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5"/>
              </w:rPr>
              <w:t>31.1+</w:t>
            </w:r>
          </w:p>
        </w:tc>
        <w:tc>
          <w:tcPr>
            <w:tcW w:w="55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w:t>
            </w: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48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15d-14(a) under the Securities Exchange Act of 1934, as Adopted Pursuant</w:t>
            </w:r>
          </w:p>
        </w:tc>
        <w:tc>
          <w:tcPr>
            <w:tcW w:w="6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6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to Section 302 of the Sarbanes-Oxley Act of 2002.</w:t>
            </w:r>
          </w:p>
        </w:tc>
        <w:tc>
          <w:tcPr>
            <w:tcW w:w="20" w:type="dxa"/>
            <w:vAlign w:val="bottom"/>
            <w:tcBorders>
              <w:bottom w:val="single" w:sz="8" w:color="0000EE"/>
            </w:tcBorders>
          </w:tcPr>
          <w:p>
            <w:pPr>
              <w:spacing w:after="0"/>
              <w:rPr>
                <w:sz w:val="17"/>
                <w:szCs w:val="17"/>
                <w:color w:val="auto"/>
              </w:rPr>
            </w:pPr>
          </w:p>
        </w:tc>
        <w:tc>
          <w:tcPr>
            <w:tcW w:w="1860" w:type="dxa"/>
            <w:vAlign w:val="bottom"/>
            <w:gridSpan w:val="10"/>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5"/>
              </w:rPr>
              <w:t>31.2+</w:t>
            </w:r>
          </w:p>
        </w:tc>
        <w:tc>
          <w:tcPr>
            <w:tcW w:w="55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w:t>
            </w: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48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15d-14(a) under the Securities Exchange Act of 1934, as Adopted Pursuant</w:t>
            </w:r>
          </w:p>
        </w:tc>
        <w:tc>
          <w:tcPr>
            <w:tcW w:w="6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6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to Section 302 of the Sarbanes-Oxley Act of 2002.</w:t>
            </w:r>
          </w:p>
        </w:tc>
        <w:tc>
          <w:tcPr>
            <w:tcW w:w="20" w:type="dxa"/>
            <w:vAlign w:val="bottom"/>
            <w:tcBorders>
              <w:bottom w:val="single" w:sz="8" w:color="0000EE"/>
            </w:tcBorders>
          </w:tcPr>
          <w:p>
            <w:pPr>
              <w:spacing w:after="0"/>
              <w:rPr>
                <w:sz w:val="17"/>
                <w:szCs w:val="17"/>
                <w:color w:val="auto"/>
              </w:rPr>
            </w:pPr>
          </w:p>
        </w:tc>
        <w:tc>
          <w:tcPr>
            <w:tcW w:w="1860" w:type="dxa"/>
            <w:vAlign w:val="bottom"/>
            <w:gridSpan w:val="10"/>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rPr>
              <w:t>32.1+†</w:t>
            </w:r>
          </w:p>
        </w:tc>
        <w:tc>
          <w:tcPr>
            <w:tcW w:w="53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w:t>
            </w:r>
          </w:p>
        </w:tc>
        <w:tc>
          <w:tcPr>
            <w:tcW w:w="160" w:type="dxa"/>
            <w:vAlign w:val="bottom"/>
            <w:gridSpan w:val="4"/>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5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2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2002.</w:t>
            </w:r>
          </w:p>
        </w:tc>
        <w:tc>
          <w:tcPr>
            <w:tcW w:w="20" w:type="dxa"/>
            <w:vAlign w:val="bottom"/>
            <w:tcBorders>
              <w:top w:val="single" w:sz="8" w:color="0000FF"/>
              <w:bottom w:val="single" w:sz="8" w:color="0000EE"/>
            </w:tcBorders>
          </w:tcPr>
          <w:p>
            <w:pPr>
              <w:spacing w:after="0"/>
              <w:rPr>
                <w:sz w:val="17"/>
                <w:szCs w:val="17"/>
                <w:color w:val="auto"/>
              </w:rPr>
            </w:pPr>
          </w:p>
        </w:tc>
        <w:tc>
          <w:tcPr>
            <w:tcW w:w="3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rPr>
              <w:t>32.2+†</w:t>
            </w:r>
          </w:p>
        </w:tc>
        <w:tc>
          <w:tcPr>
            <w:tcW w:w="53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w:t>
            </w:r>
          </w:p>
        </w:tc>
        <w:tc>
          <w:tcPr>
            <w:tcW w:w="220" w:type="dxa"/>
            <w:vAlign w:val="bottom"/>
            <w:gridSpan w:val="5"/>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5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2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2002.</w:t>
            </w:r>
          </w:p>
        </w:tc>
        <w:tc>
          <w:tcPr>
            <w:tcW w:w="20" w:type="dxa"/>
            <w:vAlign w:val="bottom"/>
            <w:tcBorders>
              <w:top w:val="single" w:sz="8" w:color="0000FF"/>
              <w:bottom w:val="single" w:sz="8" w:color="0000EE"/>
            </w:tcBorders>
          </w:tcPr>
          <w:p>
            <w:pPr>
              <w:spacing w:after="0"/>
              <w:rPr>
                <w:sz w:val="17"/>
                <w:szCs w:val="17"/>
                <w:color w:val="auto"/>
              </w:rPr>
            </w:pPr>
          </w:p>
        </w:tc>
        <w:tc>
          <w:tcPr>
            <w:tcW w:w="3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9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101.INS</w:t>
            </w:r>
          </w:p>
        </w:tc>
        <w:tc>
          <w:tcPr>
            <w:tcW w:w="55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rPr>
              <w:t>101.SCH</w:t>
            </w:r>
          </w:p>
        </w:tc>
        <w:tc>
          <w:tcPr>
            <w:tcW w:w="55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rPr>
              <w:t>101.CAL</w:t>
            </w:r>
          </w:p>
        </w:tc>
        <w:tc>
          <w:tcPr>
            <w:tcW w:w="55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7"/>
              </w:rPr>
              <w:t>101.DEF</w:t>
            </w:r>
          </w:p>
        </w:tc>
        <w:tc>
          <w:tcPr>
            <w:tcW w:w="55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rPr>
              <w:t>101.LAB</w:t>
            </w:r>
          </w:p>
        </w:tc>
        <w:tc>
          <w:tcPr>
            <w:tcW w:w="55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40" w:type="dxa"/>
            <w:vAlign w:val="bottom"/>
          </w:tcPr>
          <w:p>
            <w:pPr>
              <w:jc w:val="center"/>
              <w:ind w:right="172"/>
              <w:spacing w:after="0"/>
              <w:rPr>
                <w:sz w:val="20"/>
                <w:szCs w:val="20"/>
                <w:color w:val="auto"/>
              </w:rPr>
            </w:pPr>
            <w:r>
              <w:rPr>
                <w:rFonts w:ascii="Times New Roman" w:cs="Times New Roman" w:eastAsia="Times New Roman" w:hAnsi="Times New Roman"/>
                <w:sz w:val="18"/>
                <w:szCs w:val="18"/>
                <w:color w:val="auto"/>
                <w:w w:val="99"/>
              </w:rPr>
              <w:t>101.PRE</w:t>
            </w:r>
          </w:p>
        </w:tc>
        <w:tc>
          <w:tcPr>
            <w:tcW w:w="55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080" w:right="5020" w:hanging="734"/>
        <w:spacing w:after="0" w:line="282" w:lineRule="auto"/>
        <w:tabs>
          <w:tab w:leader="none" w:pos="10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48" w:lineRule="exact"/>
        <w:rPr>
          <w:rFonts w:ascii="Times New Roman" w:cs="Times New Roman" w:eastAsia="Times New Roman" w:hAnsi="Times New Roman"/>
          <w:sz w:val="18"/>
          <w:szCs w:val="18"/>
          <w:color w:val="auto"/>
        </w:rPr>
      </w:pPr>
    </w:p>
    <w:p>
      <w:pPr>
        <w:jc w:val="both"/>
        <w:ind w:firstLine="8"/>
        <w:spacing w:after="0" w:line="261" w:lineRule="auto"/>
        <w:tabs>
          <w:tab w:leader="none" w:pos="1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-727710</wp:posOffset>
            </wp:positionV>
            <wp:extent cx="95123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657" w:right="51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6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PMV Pharmaceuticals, Inc.</w:t>
            </w:r>
          </w:p>
        </w:tc>
      </w:tr>
      <w:tr>
        <w:trPr>
          <w:trHeight w:val="47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2023</w:t>
            </w:r>
          </w:p>
        </w:tc>
        <w:tc>
          <w:tcPr>
            <w:tcW w:w="25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H. Mack</w:t>
            </w:r>
          </w:p>
        </w:tc>
      </w:tr>
      <w:tr>
        <w:trPr>
          <w:trHeight w:val="205"/>
        </w:trPr>
        <w:tc>
          <w:tcPr>
            <w:tcW w:w="35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1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David H. Mack, Ph.D.</w:t>
            </w:r>
          </w:p>
        </w:tc>
      </w:tr>
      <w:tr>
        <w:trPr>
          <w:trHeight w:val="229"/>
        </w:trPr>
        <w:tc>
          <w:tcPr>
            <w:tcW w:w="35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w:t>
            </w:r>
          </w:p>
        </w:tc>
      </w:tr>
      <w:tr>
        <w:trPr>
          <w:trHeight w:val="234"/>
        </w:trPr>
        <w:tc>
          <w:tcPr>
            <w:tcW w:w="35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r>
        <w:trPr>
          <w:trHeight w:val="459"/>
        </w:trPr>
        <w:tc>
          <w:tcPr>
            <w:tcW w:w="3560" w:type="dxa"/>
            <w:vAlign w:val="bottom"/>
          </w:tcPr>
          <w:p>
            <w:pPr>
              <w:spacing w:after="0"/>
              <w:rPr>
                <w:sz w:val="24"/>
                <w:szCs w:val="24"/>
                <w:color w:val="auto"/>
              </w:rPr>
            </w:pPr>
          </w:p>
        </w:tc>
        <w:tc>
          <w:tcPr>
            <w:tcW w:w="766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PMV Pharmaceuticals, Inc.</w:t>
            </w:r>
          </w:p>
        </w:tc>
      </w:tr>
      <w:tr>
        <w:trPr>
          <w:trHeight w:val="47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2023</w:t>
            </w:r>
          </w:p>
        </w:tc>
        <w:tc>
          <w:tcPr>
            <w:tcW w:w="25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Winston Kung</w:t>
            </w:r>
          </w:p>
        </w:tc>
      </w:tr>
      <w:tr>
        <w:trPr>
          <w:trHeight w:val="225"/>
        </w:trPr>
        <w:tc>
          <w:tcPr>
            <w:tcW w:w="35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Winston Kung</w:t>
            </w:r>
          </w:p>
        </w:tc>
      </w:tr>
    </w:tbl>
    <w:p>
      <w:pPr>
        <w:jc w:val="center"/>
        <w:ind w:left="6060"/>
        <w:spacing w:after="0"/>
        <w:rPr>
          <w:sz w:val="20"/>
          <w:szCs w:val="20"/>
          <w:color w:val="auto"/>
        </w:rPr>
      </w:pPr>
      <w:r>
        <w:rPr>
          <w:rFonts w:ascii="Times New Roman" w:cs="Times New Roman" w:eastAsia="Times New Roman" w:hAnsi="Times New Roman"/>
          <w:sz w:val="18"/>
          <w:szCs w:val="18"/>
          <w:color w:val="auto"/>
        </w:rPr>
        <w:t>Chief Operating Officer and</w:t>
      </w:r>
    </w:p>
    <w:p>
      <w:pPr>
        <w:spacing w:after="0" w:line="7"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BYLAWS OF</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PMV PHARMACEUTICALS,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(initially adopted on August 5, 2020, and updated effective as of June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643255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58"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62"/>
        </w:trPr>
        <w:tc>
          <w:tcPr>
            <w:tcW w:w="1320" w:type="dxa"/>
            <w:vAlign w:val="bottom"/>
          </w:tcPr>
          <w:p>
            <w:pPr>
              <w:spacing w:after="0"/>
              <w:rPr>
                <w:sz w:val="22"/>
                <w:szCs w:val="22"/>
                <w:color w:val="auto"/>
              </w:rPr>
            </w:pPr>
          </w:p>
        </w:tc>
        <w:tc>
          <w:tcPr>
            <w:tcW w:w="8200" w:type="dxa"/>
            <w:vAlign w:val="bottom"/>
          </w:tcPr>
          <w:p>
            <w:pPr>
              <w:ind w:left="324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Page</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820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81"/>
        </w:trPr>
        <w:tc>
          <w:tcPr>
            <w:tcW w:w="9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ARTICLE I - CORPORATE OFFICES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363"/>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REGISTERED OFFICE</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58"/>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1.2</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OTHER OFFICES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364"/>
        </w:trPr>
        <w:tc>
          <w:tcPr>
            <w:tcW w:w="9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ARTICLE II - MEETINGS OF STOCKHOLDERS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363"/>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PLACE OF MEETINGS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56"/>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2.2</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ANNUAL MEETING</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57"/>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2.3</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SPECIAL MEETING</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57"/>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2.4</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ADVANCE NOTICE PROCEDURES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57"/>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2.5</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NOTICE OF STOCKHOLDERS’ MEETINGS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57"/>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2.6</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QUORUM</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56"/>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2.7</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ADJOURNED MEETING; NOTICE</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57"/>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2.8</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CONDUCT OF BUSINESS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57"/>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2.9</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VOTING</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57"/>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2.10</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STOCKHOLDER ACTION BY WRITTEN CONSENT WITHOUT A MEETING</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56"/>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2.11</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RECORD DATES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57"/>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2.12</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PROXIES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57"/>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2.13</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LIST OF STOCKHOLDERS ENTITLED TO VOTE</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58"/>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2.14</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INSPECTORS OF ELECTION</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364"/>
        </w:trPr>
        <w:tc>
          <w:tcPr>
            <w:tcW w:w="9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ARTICLE III - DIRECTORS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363"/>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3.1</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POWERS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57"/>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3.2</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NUMBER OF DIRECTORS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56"/>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3.3</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ELECTION, QUALIFICATION AND TERM OF OFFICE OF DIRECTORS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57"/>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3.4</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RESIGNATION AND VACANCIES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56"/>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3.5</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PLACE OF MEETINGS; MEETINGS BY TELEPHONE</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57"/>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3.6</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REGULAR MEETINGS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56"/>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3.7</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SPECIAL MEETINGS; NOTICE</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57"/>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3.8</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QUORUM; VOTING</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56"/>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3.9</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BOARD ACTION BY WRITTEN CONSENT WITHOUT A MEETING</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57"/>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3.10</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FEES AND COMPENSATION OF DIRECTORS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58"/>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3.11</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REMOVAL OF DIRECTORS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365"/>
        </w:trPr>
        <w:tc>
          <w:tcPr>
            <w:tcW w:w="9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ARTICLE IV - COMMITTEES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363"/>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4.1</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COMMITTEES OF DIRECTORS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57"/>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4.2</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COMMITTEE MINUTES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56"/>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4.3</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MEETINGS AND ACTION OF COMMITTEES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58"/>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4.4</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SUBCOMMITTEES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365"/>
        </w:trPr>
        <w:tc>
          <w:tcPr>
            <w:tcW w:w="95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ARTICLE V - OFFICERS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363"/>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5.1</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OFFICERS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56"/>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5.2</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APPOINTMENT OF OFFICERS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57"/>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5.3</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SUBORDINATE OFFICERS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56"/>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5.4</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REMOVAL AND RESIGNATION OF OFFICERS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56"/>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5.5</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VACANCIES IN OFFICES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56"/>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5.6</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REPRESENTATION OF SECURITIES OF OTHER ENTITIES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43"/>
        </w:trPr>
        <w:tc>
          <w:tcPr>
            <w:tcW w:w="13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5.7</w:t>
            </w:r>
          </w:p>
        </w:tc>
        <w:tc>
          <w:tcPr>
            <w:tcW w:w="8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AUTHORITY AND DUTIES OF OFFICERS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58"/>
        </w:trPr>
        <w:tc>
          <w:tcPr>
            <w:tcW w:w="132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-i-</w:t>
            </w:r>
          </w:p>
        </w:tc>
        <w:tc>
          <w:tcPr>
            <w:tcW w:w="82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9"/>
        </w:trPr>
        <w:tc>
          <w:tcPr>
            <w:tcW w:w="1320" w:type="dxa"/>
            <w:vAlign w:val="bottom"/>
            <w:tcBorders>
              <w:bottom w:val="single" w:sz="8" w:color="9A9A9A"/>
            </w:tcBorders>
          </w:tcPr>
          <w:p>
            <w:pPr>
              <w:spacing w:after="0"/>
              <w:rPr>
                <w:sz w:val="9"/>
                <w:szCs w:val="9"/>
                <w:color w:val="auto"/>
              </w:rPr>
            </w:pPr>
          </w:p>
        </w:tc>
        <w:tc>
          <w:tcPr>
            <w:tcW w:w="820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2" w:name="page33"/>
    <w:bookmarkEnd w:id="32"/>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(continued)</w:t>
      </w:r>
    </w:p>
    <w:tbl>
      <w:tblPr>
        <w:tblLayout w:type="fixed"/>
        <w:tblInd w:w="0" w:type="dxa"/>
        <w:tblCellMar>
          <w:top w:w="0" w:type="dxa"/>
          <w:left w:w="0" w:type="dxa"/>
          <w:bottom w:w="0" w:type="dxa"/>
          <w:right w:w="0" w:type="dxa"/>
        </w:tblCellMar>
      </w:tblPr>
      <w:tr>
        <w:trPr>
          <w:trHeight w:val="262"/>
        </w:trPr>
        <w:tc>
          <w:tcPr>
            <w:tcW w:w="1300" w:type="dxa"/>
            <w:vAlign w:val="bottom"/>
          </w:tcPr>
          <w:p>
            <w:pPr>
              <w:spacing w:after="0"/>
              <w:rPr>
                <w:sz w:val="22"/>
                <w:szCs w:val="22"/>
                <w:color w:val="auto"/>
              </w:rPr>
            </w:pPr>
          </w:p>
        </w:tc>
        <w:tc>
          <w:tcPr>
            <w:tcW w:w="9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Page</w:t>
            </w:r>
          </w:p>
        </w:tc>
      </w:tr>
      <w:tr>
        <w:trPr>
          <w:trHeight w:val="555"/>
        </w:trPr>
        <w:tc>
          <w:tcPr>
            <w:tcW w:w="10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 - STOCK</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363"/>
        </w:trPr>
        <w:tc>
          <w:tcPr>
            <w:tcW w:w="13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6.1</w:t>
            </w:r>
          </w:p>
        </w:tc>
        <w:tc>
          <w:tcPr>
            <w:tcW w:w="9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STOCK CERTIFICATES; PARTLY PAID 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57"/>
        </w:trPr>
        <w:tc>
          <w:tcPr>
            <w:tcW w:w="13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6.2</w:t>
            </w:r>
          </w:p>
        </w:tc>
        <w:tc>
          <w:tcPr>
            <w:tcW w:w="9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SPECIAL DESIGNATION ON CERTIFICATES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57"/>
        </w:trPr>
        <w:tc>
          <w:tcPr>
            <w:tcW w:w="13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6.3</w:t>
            </w:r>
          </w:p>
        </w:tc>
        <w:tc>
          <w:tcPr>
            <w:tcW w:w="9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LOST CERTIFICATES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57"/>
        </w:trPr>
        <w:tc>
          <w:tcPr>
            <w:tcW w:w="13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6.4</w:t>
            </w:r>
          </w:p>
        </w:tc>
        <w:tc>
          <w:tcPr>
            <w:tcW w:w="9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DIVIDENDS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56"/>
        </w:trPr>
        <w:tc>
          <w:tcPr>
            <w:tcW w:w="13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6.5</w:t>
            </w:r>
          </w:p>
        </w:tc>
        <w:tc>
          <w:tcPr>
            <w:tcW w:w="9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TRANSFER OF STOCK</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57"/>
        </w:trPr>
        <w:tc>
          <w:tcPr>
            <w:tcW w:w="13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6.6</w:t>
            </w:r>
          </w:p>
        </w:tc>
        <w:tc>
          <w:tcPr>
            <w:tcW w:w="9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STOCK TRANSFER AGREEMENTS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58"/>
        </w:trPr>
        <w:tc>
          <w:tcPr>
            <w:tcW w:w="13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6.7</w:t>
            </w:r>
          </w:p>
        </w:tc>
        <w:tc>
          <w:tcPr>
            <w:tcW w:w="9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REGISTERED STOCKHOLDERS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364"/>
        </w:trPr>
        <w:tc>
          <w:tcPr>
            <w:tcW w:w="10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 - MANNER OF GIVING NOTICE AND WAIVER</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363"/>
        </w:trPr>
        <w:tc>
          <w:tcPr>
            <w:tcW w:w="13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7.1</w:t>
            </w:r>
          </w:p>
        </w:tc>
        <w:tc>
          <w:tcPr>
            <w:tcW w:w="9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NOTICE OF STOCKHOLDERS’ MEETINGS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56"/>
        </w:trPr>
        <w:tc>
          <w:tcPr>
            <w:tcW w:w="13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7.2</w:t>
            </w:r>
          </w:p>
        </w:tc>
        <w:tc>
          <w:tcPr>
            <w:tcW w:w="9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NOTICE TO STOCKHOLDERS SHARING AN ADDRESS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57"/>
        </w:trPr>
        <w:tc>
          <w:tcPr>
            <w:tcW w:w="13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7.3</w:t>
            </w:r>
          </w:p>
        </w:tc>
        <w:tc>
          <w:tcPr>
            <w:tcW w:w="9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NOTICE TO PERSON WITH WHOM COMMUNICATION IS UNLAWFUL</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58"/>
        </w:trPr>
        <w:tc>
          <w:tcPr>
            <w:tcW w:w="13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7.4</w:t>
            </w:r>
          </w:p>
        </w:tc>
        <w:tc>
          <w:tcPr>
            <w:tcW w:w="9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WAIVER OF NOTICE</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364"/>
        </w:trPr>
        <w:tc>
          <w:tcPr>
            <w:tcW w:w="10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VIII - INDEMNIFICATION</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363"/>
        </w:trPr>
        <w:tc>
          <w:tcPr>
            <w:tcW w:w="13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8.1</w:t>
            </w:r>
          </w:p>
        </w:tc>
        <w:tc>
          <w:tcPr>
            <w:tcW w:w="9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INDEMNIFICATION OF DIRECTORS AND OFFICERS IN THIRD PARTY PROCEEDINGS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29"/>
        </w:trPr>
        <w:tc>
          <w:tcPr>
            <w:tcW w:w="13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8.2</w:t>
            </w:r>
          </w:p>
        </w:tc>
        <w:tc>
          <w:tcPr>
            <w:tcW w:w="9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INDEMNIFICATION OF DIRECTORS AND OFFICERS IN ACTIONS BY OR IN THE RIGHT OF THE</w:t>
            </w:r>
          </w:p>
        </w:tc>
        <w:tc>
          <w:tcPr>
            <w:tcW w:w="720" w:type="dxa"/>
            <w:vAlign w:val="bottom"/>
          </w:tcPr>
          <w:p>
            <w:pPr>
              <w:spacing w:after="0"/>
              <w:rPr>
                <w:sz w:val="19"/>
                <w:szCs w:val="19"/>
                <w:color w:val="auto"/>
              </w:rPr>
            </w:pPr>
          </w:p>
        </w:tc>
      </w:tr>
      <w:tr>
        <w:trPr>
          <w:trHeight w:val="257"/>
        </w:trPr>
        <w:tc>
          <w:tcPr>
            <w:tcW w:w="1300" w:type="dxa"/>
            <w:vAlign w:val="bottom"/>
          </w:tcPr>
          <w:p>
            <w:pPr>
              <w:spacing w:after="0"/>
              <w:rPr>
                <w:sz w:val="22"/>
                <w:szCs w:val="22"/>
                <w:color w:val="auto"/>
              </w:rPr>
            </w:pPr>
          </w:p>
        </w:tc>
        <w:tc>
          <w:tcPr>
            <w:tcW w:w="9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COMPANY</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57"/>
        </w:trPr>
        <w:tc>
          <w:tcPr>
            <w:tcW w:w="13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8.3</w:t>
            </w:r>
          </w:p>
        </w:tc>
        <w:tc>
          <w:tcPr>
            <w:tcW w:w="9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SUCCESSFUL DEFENSE</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56"/>
        </w:trPr>
        <w:tc>
          <w:tcPr>
            <w:tcW w:w="13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8.4</w:t>
            </w:r>
          </w:p>
        </w:tc>
        <w:tc>
          <w:tcPr>
            <w:tcW w:w="9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INDEMNIFICATION OF OTHERS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56"/>
        </w:trPr>
        <w:tc>
          <w:tcPr>
            <w:tcW w:w="13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8.5</w:t>
            </w:r>
          </w:p>
        </w:tc>
        <w:tc>
          <w:tcPr>
            <w:tcW w:w="9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ADVANCED PAYMENT OF EXPENSES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57"/>
        </w:trPr>
        <w:tc>
          <w:tcPr>
            <w:tcW w:w="13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8.6</w:t>
            </w:r>
          </w:p>
        </w:tc>
        <w:tc>
          <w:tcPr>
            <w:tcW w:w="9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LIMITATION ON INDEMNIFICATION</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56"/>
        </w:trPr>
        <w:tc>
          <w:tcPr>
            <w:tcW w:w="13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8.7</w:t>
            </w:r>
          </w:p>
        </w:tc>
        <w:tc>
          <w:tcPr>
            <w:tcW w:w="9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DETERMINATION; CLAIM</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57"/>
        </w:trPr>
        <w:tc>
          <w:tcPr>
            <w:tcW w:w="13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8.8</w:t>
            </w:r>
          </w:p>
        </w:tc>
        <w:tc>
          <w:tcPr>
            <w:tcW w:w="9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NON-EXCLUSIVITY OF RIGHTS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57"/>
        </w:trPr>
        <w:tc>
          <w:tcPr>
            <w:tcW w:w="13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8.9</w:t>
            </w:r>
          </w:p>
        </w:tc>
        <w:tc>
          <w:tcPr>
            <w:tcW w:w="9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INSURANCE</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56"/>
        </w:trPr>
        <w:tc>
          <w:tcPr>
            <w:tcW w:w="13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8.10</w:t>
            </w:r>
          </w:p>
        </w:tc>
        <w:tc>
          <w:tcPr>
            <w:tcW w:w="9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SURVIVAL</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57"/>
        </w:trPr>
        <w:tc>
          <w:tcPr>
            <w:tcW w:w="13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8.11</w:t>
            </w:r>
          </w:p>
        </w:tc>
        <w:tc>
          <w:tcPr>
            <w:tcW w:w="9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EFFECT OF REPEAL OR MODIFICATION</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58"/>
        </w:trPr>
        <w:tc>
          <w:tcPr>
            <w:tcW w:w="13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8.12</w:t>
            </w:r>
          </w:p>
        </w:tc>
        <w:tc>
          <w:tcPr>
            <w:tcW w:w="9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CERTAIN DEFINITIONS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365"/>
        </w:trPr>
        <w:tc>
          <w:tcPr>
            <w:tcW w:w="10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IX - GENERAL MATTERS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363"/>
        </w:trPr>
        <w:tc>
          <w:tcPr>
            <w:tcW w:w="13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9.1</w:t>
            </w:r>
          </w:p>
        </w:tc>
        <w:tc>
          <w:tcPr>
            <w:tcW w:w="9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EXECUTION OF CORPORATE CONTRACTS AND INSTRUMENTS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56"/>
        </w:trPr>
        <w:tc>
          <w:tcPr>
            <w:tcW w:w="13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9.2</w:t>
            </w:r>
          </w:p>
        </w:tc>
        <w:tc>
          <w:tcPr>
            <w:tcW w:w="9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FISCAL YEAR</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57"/>
        </w:trPr>
        <w:tc>
          <w:tcPr>
            <w:tcW w:w="13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9.3</w:t>
            </w:r>
          </w:p>
        </w:tc>
        <w:tc>
          <w:tcPr>
            <w:tcW w:w="9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SEAL</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56"/>
        </w:trPr>
        <w:tc>
          <w:tcPr>
            <w:tcW w:w="13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9.4</w:t>
            </w:r>
          </w:p>
        </w:tc>
        <w:tc>
          <w:tcPr>
            <w:tcW w:w="9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CONSTRUCTION; DEFINITIONS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58"/>
        </w:trPr>
        <w:tc>
          <w:tcPr>
            <w:tcW w:w="130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9.5</w:t>
            </w:r>
          </w:p>
        </w:tc>
        <w:tc>
          <w:tcPr>
            <w:tcW w:w="92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FORUM SELECTION</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365"/>
        </w:trPr>
        <w:tc>
          <w:tcPr>
            <w:tcW w:w="10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 - AMENDMENTS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bl>
    <w:p>
      <w:pPr>
        <w:spacing w:after="0" w:line="200" w:lineRule="exact"/>
        <w:rPr>
          <w:sz w:val="20"/>
          <w:szCs w:val="20"/>
          <w:color w:val="auto"/>
        </w:rPr>
      </w:pPr>
    </w:p>
    <w:p>
      <w:pPr>
        <w:spacing w:after="0" w:line="3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20"/>
          <w:szCs w:val="20"/>
          <w:b w:val="1"/>
          <w:bCs w:val="1"/>
          <w:color w:val="auto"/>
        </w:rPr>
        <w:t>BYLAWS OF PMV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 - CORPORATE OFFICES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1.1  REGISTERED OFFICE</w:t>
      </w:r>
    </w:p>
    <w:p>
      <w:pPr>
        <w:spacing w:after="0" w:line="212"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color w:val="auto"/>
        </w:rPr>
        <w:t>The registered office of PMV Pharmaceuticals,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shall be fixed in the Company’s certificate of incorporation, as the same may be amended from time to time.</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1.2  OTHER OFFICES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Company may at any time establish other offices.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 - MEETINGS OF STOCKHOLDERS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2.1  PLACE OF MEETINGS</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Meetings of stockholders shall be held at a place, if any, within or outside the State of Delaware, determined by the board of directors of the Company (the “</w:t>
      </w:r>
      <w:r>
        <w:rPr>
          <w:rFonts w:ascii="Times New Roman" w:cs="Times New Roman" w:eastAsia="Times New Roman" w:hAnsi="Times New Roman"/>
          <w:sz w:val="20"/>
          <w:szCs w:val="20"/>
          <w:b w:val="1"/>
          <w:bCs w:val="1"/>
          <w:color w:val="auto"/>
        </w:rPr>
        <w:t>Board of Directors</w:t>
      </w:r>
      <w:r>
        <w:rPr>
          <w:rFonts w:ascii="Times New Roman" w:cs="Times New Roman" w:eastAsia="Times New Roman" w:hAnsi="Times New Roman"/>
          <w:sz w:val="20"/>
          <w:szCs w:val="20"/>
          <w:color w:val="auto"/>
        </w:rPr>
        <w:t>”). The Board of Directors may, in its sole discretion, determine that a meeting of stockholders shall not be held at any place, but may instead be held solely by means of remote communication as authorized by Section 211(a)(2) of the Delaware General Corporation Law (the “</w:t>
      </w:r>
      <w:r>
        <w:rPr>
          <w:rFonts w:ascii="Times New Roman" w:cs="Times New Roman" w:eastAsia="Times New Roman" w:hAnsi="Times New Roman"/>
          <w:sz w:val="20"/>
          <w:szCs w:val="20"/>
          <w:b w:val="1"/>
          <w:bCs w:val="1"/>
          <w:color w:val="auto"/>
        </w:rPr>
        <w:t>DGCL</w:t>
      </w:r>
      <w:r>
        <w:rPr>
          <w:rFonts w:ascii="Times New Roman" w:cs="Times New Roman" w:eastAsia="Times New Roman" w:hAnsi="Times New Roman"/>
          <w:sz w:val="20"/>
          <w:szCs w:val="20"/>
          <w:color w:val="auto"/>
        </w:rPr>
        <w:t>”). In the absence of any such designation or determination, stockholders’ meetings shall be held at the Company’s principal executive office.</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2.2  ANNUAL MEETING</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The annual meeting of stockholders shall be held each year. The Board of Directors shall designate the date and time of the annual meeting. At the annual meeting, directors shall be elected and any other proper business, brought in accordance with Section 2.4 of these bylaws, may be transacted. The Board of Directors acting pursuant to a resolution adopted by a majority of the Whole Board may cancel, postpone or reschedule any previously scheduled annual meeting at any time, before or after the notice for such meeting has been sent to the stockholders. For the purposes of these bylaws, the term “</w:t>
      </w:r>
      <w:r>
        <w:rPr>
          <w:rFonts w:ascii="Times New Roman" w:cs="Times New Roman" w:eastAsia="Times New Roman" w:hAnsi="Times New Roman"/>
          <w:sz w:val="20"/>
          <w:szCs w:val="20"/>
          <w:b w:val="1"/>
          <w:bCs w:val="1"/>
          <w:color w:val="auto"/>
        </w:rPr>
        <w:t>Whole Board</w:t>
      </w:r>
      <w:r>
        <w:rPr>
          <w:rFonts w:ascii="Times New Roman" w:cs="Times New Roman" w:eastAsia="Times New Roman" w:hAnsi="Times New Roman"/>
          <w:sz w:val="20"/>
          <w:szCs w:val="20"/>
          <w:color w:val="auto"/>
        </w:rPr>
        <w:t>” shall mean the total number of authorized directorships whether or not there exist any vacancies or other unfilled seats in previously authorized directorships.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2.3  SPECIAL MEETING</w:t>
      </w:r>
    </w:p>
    <w:p>
      <w:pPr>
        <w:spacing w:after="0" w:line="216" w:lineRule="exact"/>
        <w:rPr>
          <w:sz w:val="20"/>
          <w:szCs w:val="20"/>
          <w:color w:val="auto"/>
        </w:rPr>
      </w:pPr>
    </w:p>
    <w:p>
      <w:pPr>
        <w:jc w:val="both"/>
        <w:ind w:firstLine="1505"/>
        <w:spacing w:after="0" w:line="245" w:lineRule="auto"/>
        <w:tabs>
          <w:tab w:leader="none" w:pos="1893"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special meeting of the stockholders, other than as required by statute, may be called at any time by (i) the Board of Directors acting pursuant to a resolution adopted by a majority of the Whole Board, (ii) the chairperson of the Board of Directors, (iii) the chief executive officer or (iv) the president, but a special meeting may not be called by any other person or persons and any power of stockholders to call a special meeting of stockholders is specifically denied. The Board of Directors acting pursuant to a resolution adopted by a majority of the Whole Board may cancel, postpone or reschedule any previously scheduled special meeting at any time, before or after the notice for such meeting has been sent to the stockholders.</w:t>
      </w:r>
    </w:p>
    <w:p>
      <w:pPr>
        <w:spacing w:after="0" w:line="184" w:lineRule="exact"/>
        <w:rPr>
          <w:rFonts w:ascii="Times New Roman" w:cs="Times New Roman" w:eastAsia="Times New Roman" w:hAnsi="Times New Roman"/>
          <w:sz w:val="20"/>
          <w:szCs w:val="20"/>
          <w:color w:val="auto"/>
        </w:rPr>
      </w:pPr>
    </w:p>
    <w:p>
      <w:pPr>
        <w:ind w:firstLine="1505"/>
        <w:spacing w:after="0" w:line="250" w:lineRule="auto"/>
        <w:tabs>
          <w:tab w:leader="none" w:pos="1893"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notice of a special meeting shall include the purpose for which the meeting is called. Only such business shall be conducted at a special meeting of stockholders as shall have been</w:t>
      </w:r>
    </w:p>
    <w:p>
      <w:pPr>
        <w:spacing w:after="0" w:line="1" w:lineRule="exact"/>
        <w:rPr>
          <w:rFonts w:ascii="Times New Roman" w:cs="Times New Roman" w:eastAsia="Times New Roman" w:hAnsi="Times New Roman"/>
          <w:sz w:val="20"/>
          <w:szCs w:val="20"/>
          <w:color w:val="auto"/>
        </w:rPr>
      </w:pPr>
    </w:p>
    <w:p>
      <w:pPr>
        <w:ind w:left="5580" w:hanging="121"/>
        <w:spacing w:after="0"/>
        <w:tabs>
          <w:tab w:leader="none" w:pos="558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4" w:name="page35"/>
    <w:bookmarkEnd w:id="34"/>
    <w:p>
      <w:pPr>
        <w:jc w:val="both"/>
        <w:spacing w:after="0" w:line="254" w:lineRule="auto"/>
        <w:rPr>
          <w:sz w:val="20"/>
          <w:szCs w:val="20"/>
          <w:color w:val="auto"/>
        </w:rPr>
      </w:pPr>
      <w:r>
        <w:rPr>
          <w:rFonts w:ascii="Times New Roman" w:cs="Times New Roman" w:eastAsia="Times New Roman" w:hAnsi="Times New Roman"/>
          <w:sz w:val="20"/>
          <w:szCs w:val="20"/>
          <w:color w:val="auto"/>
        </w:rPr>
        <w:t>brought before the meeting by or at the direction of a majority of the Whole Board, the chairperson of the Board of Directors, the chief executive officer or the president. Nothing contained in this Section 2.3(b) shall be construed as limiting, fixing or affecting the time when a meeting of stockholders called by action of the Board of Directors may be held.</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2.4  ADVANCE NOTICE PROCEDURES</w:t>
      </w:r>
    </w:p>
    <w:p>
      <w:pPr>
        <w:spacing w:after="0" w:line="212" w:lineRule="exact"/>
        <w:rPr>
          <w:sz w:val="20"/>
          <w:szCs w:val="20"/>
          <w:color w:val="auto"/>
        </w:rPr>
      </w:pPr>
    </w:p>
    <w:p>
      <w:pPr>
        <w:ind w:left="1900" w:hanging="395"/>
        <w:spacing w:after="0"/>
        <w:tabs>
          <w:tab w:leader="none" w:pos="19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Annual Meetings of Stockholders.</w:t>
      </w:r>
    </w:p>
    <w:p>
      <w:pPr>
        <w:spacing w:after="0" w:line="219" w:lineRule="exact"/>
        <w:rPr>
          <w:rFonts w:ascii="Times New Roman" w:cs="Times New Roman" w:eastAsia="Times New Roman" w:hAnsi="Times New Roman"/>
          <w:sz w:val="20"/>
          <w:szCs w:val="20"/>
          <w:color w:val="auto"/>
        </w:rPr>
      </w:pPr>
    </w:p>
    <w:p>
      <w:pPr>
        <w:jc w:val="both"/>
        <w:ind w:firstLine="2254"/>
        <w:spacing w:after="0" w:line="243" w:lineRule="auto"/>
        <w:tabs>
          <w:tab w:leader="none" w:pos="2642"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Nominations of persons for election to the Board of Directors or the proposal of other business to be transacted by the stockholders at an annual meeting of stockholders may be made only (1) pursuant to the Company’s notice of meeting (or any supplement thereto); (2) by or at the direction of the Board of Directors, or any committee thereof that has been formally delegated authority to nominate such persons or propose such business pursuant to a resolution adopted by a majority of the Whole Board; (3) as may be provided in the certificate of designations for any class or series of preferred stock; or (4) by any stockholder of the Company who (A) is a stockholder of record at the time of giving of the notice contemplated by Section 2.4(a)(ii); (B) is a stockholder of record on the record date for the determination of stockholders entitled to notice of the annual meeting; (C) is a stockholder of record on the record date for the determination of stockholders entitled to vote at the annual meeting; (D) is a stockholder of record at the time of the annual meeting; and (E) complies with the procedures set forth in this Section 2.4(a).</w:t>
      </w:r>
    </w:p>
    <w:p>
      <w:pPr>
        <w:spacing w:after="0" w:line="185" w:lineRule="exact"/>
        <w:rPr>
          <w:rFonts w:ascii="Times New Roman" w:cs="Times New Roman" w:eastAsia="Times New Roman" w:hAnsi="Times New Roman"/>
          <w:sz w:val="20"/>
          <w:szCs w:val="20"/>
          <w:color w:val="auto"/>
        </w:rPr>
      </w:pPr>
    </w:p>
    <w:p>
      <w:pPr>
        <w:jc w:val="both"/>
        <w:ind w:firstLine="2254"/>
        <w:spacing w:after="0" w:line="253" w:lineRule="auto"/>
        <w:tabs>
          <w:tab w:leader="none" w:pos="2642" w:val="left"/>
        </w:tabs>
        <w:numPr>
          <w:ilvl w:val="1"/>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nominations or other business to be properly brought before an annual meeting of stockholders by a stockholder pursuant to clause (4) of Section 2.4(a)(i), the stockholder must have given timely notice in writing to the secretary and any such nomination or proposed business must constitute a proper matter for stockholder action. To be timely, a stockholder’s notice must be received by the secretary at the principal executive offices of the Company no earlier than 8:00 a.m., Eastern time, on the 120th day and no later than 5:00 p.m., Eastern time, on the 90th day prior to the day of the first anniversary of the preceding year’s annual meeting of stockholders as first specified in the Company’s notice of such annual meeting (without regard to any adjournment, rescheduling, postponement or other delay of such annual meeting occurring after such notice was first sent). However, if no annual meeting of stockholders was held in the preceding year, or if the date of the annual meeting for the current year has been changed by more than 25 days from the first anniversary of the preceding year’s annual meeting, then to be timely such notice must be received by the secretary at the principal executive offices of the Company no earlier than 8:00 a.m., Eastern time, on the 120th day prior to the day of the annual meeting and no later than 5:00 p.m., Eastern time, on the later of the 90th day prior to the day of the annual meeting or, if the first public announcement of the date of such annual meeting is less than 100 days prior to the date of such annual meeting, the 10th day following the day on which public announcement of the date of the annual meeting was first made by the Company. In no event will the adjournment, rescheduling, postponement or other delay of any annual meeting, or any announcement thereof, commence a new time period (or extend any time period) for the giving of a stockholder’s notice as described above. In no event may a stockholder provide notice with respect to a greater number of director candidates than there are director seats subject to election by stockholders at the annual meeting. If the number of directors to be elected to the Board of Directors is increased and there is no public announcement naming all of the nominees for director or specifying the size of the increased Board of Directors at least 10 days before the last day that a stockholder may deliver a notice of nomination pursuant to the foregoing provisions, then a stockholder’s notice required by this Section 2.4(a)(ii) will also be considered timely, but only with respect to any nominees for any new positions created by such increase, if it is received by the secretary at the principal executive offices of the Company no later than 5:00 p.m., Eastern time, on the 10th day following the day on which such public announcement is first made. “</w:t>
      </w:r>
      <w:r>
        <w:rPr>
          <w:rFonts w:ascii="Times New Roman" w:cs="Times New Roman" w:eastAsia="Times New Roman" w:hAnsi="Times New Roman"/>
          <w:sz w:val="19"/>
          <w:szCs w:val="19"/>
          <w:b w:val="1"/>
          <w:bCs w:val="1"/>
          <w:color w:val="auto"/>
        </w:rPr>
        <w:t>Public announcement</w:t>
      </w:r>
      <w:r>
        <w:rPr>
          <w:rFonts w:ascii="Times New Roman" w:cs="Times New Roman" w:eastAsia="Times New Roman" w:hAnsi="Times New Roman"/>
          <w:sz w:val="19"/>
          <w:szCs w:val="19"/>
          <w:color w:val="auto"/>
        </w:rPr>
        <w:t>” means disclosure in a press release reported by a national news service or in a document publicly filed by the Company with the Securities and Exchange Commission pursuant to Section 13, Section 14 or Section 15(d) of the Securities Exchange Act of 1934</w:t>
      </w:r>
    </w:p>
    <w:p>
      <w:pPr>
        <w:spacing w:after="0" w:line="233" w:lineRule="exact"/>
        <w:rPr>
          <w:rFonts w:ascii="Times New Roman" w:cs="Times New Roman" w:eastAsia="Times New Roman" w:hAnsi="Times New Roman"/>
          <w:sz w:val="19"/>
          <w:szCs w:val="19"/>
          <w:color w:val="auto"/>
        </w:rPr>
      </w:pPr>
    </w:p>
    <w:p>
      <w:pPr>
        <w:ind w:left="5580" w:hanging="121"/>
        <w:spacing w:after="0"/>
        <w:tabs>
          <w:tab w:leader="none" w:pos="5580" w:val="left"/>
        </w:tabs>
        <w:numPr>
          <w:ilvl w:val="2"/>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5" w:name="page36"/>
    <w:bookmarkEnd w:id="35"/>
    <w:p>
      <w:pPr>
        <w:jc w:val="both"/>
        <w:spacing w:after="0" w:line="256" w:lineRule="auto"/>
        <w:rPr>
          <w:sz w:val="20"/>
          <w:szCs w:val="20"/>
          <w:color w:val="auto"/>
        </w:rPr>
      </w:pPr>
      <w:r>
        <w:rPr>
          <w:rFonts w:ascii="Times New Roman" w:cs="Times New Roman" w:eastAsia="Times New Roman" w:hAnsi="Times New Roman"/>
          <w:sz w:val="20"/>
          <w:szCs w:val="20"/>
          <w:color w:val="auto"/>
        </w:rPr>
        <w:t>(as amended and inclusive of rules and regulations thereunder, the “</w:t>
      </w:r>
      <w:r>
        <w:rPr>
          <w:rFonts w:ascii="Times New Roman" w:cs="Times New Roman" w:eastAsia="Times New Roman" w:hAnsi="Times New Roman"/>
          <w:sz w:val="20"/>
          <w:szCs w:val="20"/>
          <w:b w:val="1"/>
          <w:bCs w:val="1"/>
          <w:color w:val="auto"/>
        </w:rPr>
        <w:t>1934 Act</w:t>
      </w:r>
      <w:r>
        <w:rPr>
          <w:rFonts w:ascii="Times New Roman" w:cs="Times New Roman" w:eastAsia="Times New Roman" w:hAnsi="Times New Roman"/>
          <w:sz w:val="20"/>
          <w:szCs w:val="20"/>
          <w:color w:val="auto"/>
        </w:rPr>
        <w:t>”) or by such other means as is reasonably designed to inform the public or stockholders of the Company in general of such information, including, without limitation, posting on the Company’s investor relations website.</w:t>
      </w:r>
    </w:p>
    <w:p>
      <w:pPr>
        <w:spacing w:after="0" w:line="173" w:lineRule="exact"/>
        <w:rPr>
          <w:sz w:val="20"/>
          <w:szCs w:val="20"/>
          <w:color w:val="auto"/>
        </w:rPr>
      </w:pPr>
    </w:p>
    <w:p>
      <w:pPr>
        <w:ind w:left="2660" w:hanging="406"/>
        <w:spacing w:after="0"/>
        <w:tabs>
          <w:tab w:leader="none" w:pos="26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stockholder’s notice to the secretary must set forth:</w:t>
      </w:r>
    </w:p>
    <w:p>
      <w:pPr>
        <w:spacing w:after="0" w:line="215" w:lineRule="exact"/>
        <w:rPr>
          <w:rFonts w:ascii="Times New Roman" w:cs="Times New Roman" w:eastAsia="Times New Roman" w:hAnsi="Times New Roman"/>
          <w:sz w:val="20"/>
          <w:szCs w:val="20"/>
          <w:color w:val="auto"/>
        </w:rPr>
      </w:pPr>
    </w:p>
    <w:p>
      <w:pPr>
        <w:ind w:left="3400" w:hanging="397"/>
        <w:spacing w:after="0"/>
        <w:tabs>
          <w:tab w:leader="none" w:pos="3400"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each person whom the stockholder proposes to nominate for election as a director:</w:t>
      </w:r>
    </w:p>
    <w:p>
      <w:pPr>
        <w:spacing w:after="0" w:line="215" w:lineRule="exact"/>
        <w:rPr>
          <w:rFonts w:ascii="Times New Roman" w:cs="Times New Roman" w:eastAsia="Times New Roman" w:hAnsi="Times New Roman"/>
          <w:sz w:val="20"/>
          <w:szCs w:val="20"/>
          <w:color w:val="auto"/>
        </w:rPr>
      </w:pPr>
    </w:p>
    <w:p>
      <w:pPr>
        <w:ind w:left="4140" w:hanging="388"/>
        <w:spacing w:after="0"/>
        <w:tabs>
          <w:tab w:leader="none" w:pos="4140" w:val="left"/>
        </w:tabs>
        <w:numPr>
          <w:ilvl w:val="2"/>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person’s name, age, business address, residence address and principal occupation or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employment;</w:t>
      </w:r>
    </w:p>
    <w:p>
      <w:pPr>
        <w:spacing w:after="0" w:line="194" w:lineRule="exact"/>
        <w:rPr>
          <w:sz w:val="20"/>
          <w:szCs w:val="20"/>
          <w:color w:val="auto"/>
        </w:rPr>
      </w:pPr>
    </w:p>
    <w:p>
      <w:pPr>
        <w:jc w:val="both"/>
        <w:ind w:firstLine="3752"/>
        <w:spacing w:after="0" w:line="246" w:lineRule="auto"/>
        <w:tabs>
          <w:tab w:leader="none" w:pos="414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class and number of shares of the Company that are held of record or are beneficially owned by such person and any (i) Derivative Instruments (as defined below) held or beneficially owned by such person, including the full notional amount of any securities that, directly or indirectly, underlie any Derivative Instrument; and (ii) other agreement, arrangement or understanding that has been made the effect or intent of which is to create or mitigate loss to, manage risk or benefit of share price changes for, or increase or decrease the voting power of such person with respect to the Company’s securities;</w:t>
      </w:r>
    </w:p>
    <w:p>
      <w:pPr>
        <w:spacing w:after="0" w:line="184" w:lineRule="exact"/>
        <w:rPr>
          <w:rFonts w:ascii="Times New Roman" w:cs="Times New Roman" w:eastAsia="Times New Roman" w:hAnsi="Times New Roman"/>
          <w:sz w:val="20"/>
          <w:szCs w:val="20"/>
          <w:color w:val="auto"/>
        </w:rPr>
      </w:pPr>
    </w:p>
    <w:p>
      <w:pPr>
        <w:ind w:left="4140" w:hanging="388"/>
        <w:spacing w:after="0"/>
        <w:tabs>
          <w:tab w:leader="none" w:pos="414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information relating to such person that is required to be disclosed in connection with</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solicitations of proxies for the contested election of directors, or is otherwise required, in each case pursuant to Section 14 of the 1934 Act;</w:t>
      </w:r>
    </w:p>
    <w:p>
      <w:pPr>
        <w:spacing w:after="0" w:line="193" w:lineRule="exact"/>
        <w:rPr>
          <w:rFonts w:ascii="Times New Roman" w:cs="Times New Roman" w:eastAsia="Times New Roman" w:hAnsi="Times New Roman"/>
          <w:sz w:val="20"/>
          <w:szCs w:val="20"/>
          <w:color w:val="auto"/>
        </w:rPr>
      </w:pPr>
    </w:p>
    <w:p>
      <w:pPr>
        <w:jc w:val="both"/>
        <w:ind w:firstLine="3752"/>
        <w:spacing w:after="0" w:line="254" w:lineRule="auto"/>
        <w:tabs>
          <w:tab w:leader="none" w:pos="414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person’s written consent (x) to being named as a nominee of such stockholder, (y) to being named in the Company’s form of proxy pursuant to Rule 14a-19 under the 1934 Act and (z) to serving as a director of the Company if elected;</w:t>
      </w:r>
    </w:p>
    <w:p>
      <w:pPr>
        <w:spacing w:after="0" w:line="174" w:lineRule="exact"/>
        <w:rPr>
          <w:rFonts w:ascii="Times New Roman" w:cs="Times New Roman" w:eastAsia="Times New Roman" w:hAnsi="Times New Roman"/>
          <w:sz w:val="20"/>
          <w:szCs w:val="20"/>
          <w:color w:val="auto"/>
        </w:rPr>
      </w:pPr>
    </w:p>
    <w:p>
      <w:pPr>
        <w:ind w:firstLine="3752"/>
        <w:spacing w:after="0" w:line="246" w:lineRule="auto"/>
        <w:tabs>
          <w:tab w:leader="none" w:pos="414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direct or indirect compensatory, payment, indemnification or other financial agreement, arrangement or understanding that such person has, or has had within the past three years, with any person or entity other than the Company (including, without limitation, the amount of any payment or payments received or receivable thereunder), in each case in connection with candidacy or service as a director of the Company (such agreement, arrangement or understanding, a “</w:t>
      </w:r>
      <w:r>
        <w:rPr>
          <w:rFonts w:ascii="Times New Roman" w:cs="Times New Roman" w:eastAsia="Times New Roman" w:hAnsi="Times New Roman"/>
          <w:sz w:val="20"/>
          <w:szCs w:val="20"/>
          <w:b w:val="1"/>
          <w:bCs w:val="1"/>
          <w:color w:val="auto"/>
        </w:rPr>
        <w:t>Third-Party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Compensation Arrangement</w:t>
      </w:r>
      <w:r>
        <w:rPr>
          <w:rFonts w:ascii="Times New Roman" w:cs="Times New Roman" w:eastAsia="Times New Roman" w:hAnsi="Times New Roman"/>
          <w:sz w:val="20"/>
          <w:szCs w:val="20"/>
          <w:color w:val="auto"/>
        </w:rPr>
        <w:t>”); and</w:t>
      </w:r>
    </w:p>
    <w:p>
      <w:pPr>
        <w:spacing w:after="0" w:line="184" w:lineRule="exact"/>
        <w:rPr>
          <w:rFonts w:ascii="Times New Roman" w:cs="Times New Roman" w:eastAsia="Times New Roman" w:hAnsi="Times New Roman"/>
          <w:sz w:val="20"/>
          <w:szCs w:val="20"/>
          <w:color w:val="auto"/>
        </w:rPr>
      </w:pPr>
    </w:p>
    <w:p>
      <w:pPr>
        <w:jc w:val="both"/>
        <w:ind w:firstLine="3752"/>
        <w:spacing w:after="0" w:line="245" w:lineRule="auto"/>
        <w:tabs>
          <w:tab w:leader="none" w:pos="414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any other material relationships between such person and such person’s respective affiliates and associates, or others acting in concert with them, on the one hand, and such stockholder giving the notice and the beneficial owner, if any, on whose behalf the nomination is made, and their respective affiliates and associates, or others acting in concert with them, on the other hand, including, without limitation, all information that would be required to be disclosed pursuant to Item 404 under Regulation S-K if such stockholder, beneficial owner, affiliate or associate were the “registrant” for purposes of such rule and such person were a director or executive officer of such registrant;</w:t>
      </w:r>
    </w:p>
    <w:p>
      <w:pPr>
        <w:spacing w:after="0" w:line="184" w:lineRule="exact"/>
        <w:rPr>
          <w:rFonts w:ascii="Times New Roman" w:cs="Times New Roman" w:eastAsia="Times New Roman" w:hAnsi="Times New Roman"/>
          <w:sz w:val="20"/>
          <w:szCs w:val="20"/>
          <w:color w:val="auto"/>
        </w:rPr>
      </w:pPr>
    </w:p>
    <w:p>
      <w:pPr>
        <w:ind w:left="3400" w:hanging="397"/>
        <w:spacing w:after="0"/>
        <w:tabs>
          <w:tab w:leader="none" w:pos="34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any other business that the stockholder proposes to bring before the annual meeting:</w:t>
      </w:r>
    </w:p>
    <w:p>
      <w:pPr>
        <w:spacing w:after="0" w:line="215" w:lineRule="exact"/>
        <w:rPr>
          <w:rFonts w:ascii="Times New Roman" w:cs="Times New Roman" w:eastAsia="Times New Roman" w:hAnsi="Times New Roman"/>
          <w:sz w:val="20"/>
          <w:szCs w:val="20"/>
          <w:color w:val="auto"/>
        </w:rPr>
      </w:pPr>
    </w:p>
    <w:p>
      <w:pPr>
        <w:ind w:left="4140" w:hanging="388"/>
        <w:spacing w:after="0"/>
        <w:tabs>
          <w:tab w:leader="none" w:pos="414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brief description of the business desired to be brought before the annual meeting;</w:t>
      </w:r>
    </w:p>
    <w:p>
      <w:pPr>
        <w:spacing w:after="0" w:line="21" w:lineRule="exact"/>
        <w:rPr>
          <w:rFonts w:ascii="Times New Roman" w:cs="Times New Roman" w:eastAsia="Times New Roman" w:hAnsi="Times New Roman"/>
          <w:sz w:val="20"/>
          <w:szCs w:val="20"/>
          <w:color w:val="auto"/>
        </w:rPr>
      </w:pPr>
    </w:p>
    <w:p>
      <w:pPr>
        <w:ind w:left="5580" w:hanging="121"/>
        <w:spacing w:after="0"/>
        <w:tabs>
          <w:tab w:leader="none" w:pos="5580" w:val="left"/>
        </w:tabs>
        <w:numPr>
          <w:ilvl w:val="2"/>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36" w:name="page37"/>
    <w:bookmarkEnd w:id="36"/>
    <w:p>
      <w:pPr>
        <w:ind w:right="20" w:firstLine="3752"/>
        <w:spacing w:after="0" w:line="269" w:lineRule="auto"/>
        <w:tabs>
          <w:tab w:leader="none" w:pos="414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text of the proposal or business (including the text of any resolutions proposed for consideration and, if applicable, the text of any proposed amendment to these bylaws);</w:t>
      </w:r>
    </w:p>
    <w:p>
      <w:pPr>
        <w:spacing w:after="0" w:line="159" w:lineRule="exact"/>
        <w:rPr>
          <w:rFonts w:ascii="Times New Roman" w:cs="Times New Roman" w:eastAsia="Times New Roman" w:hAnsi="Times New Roman"/>
          <w:sz w:val="20"/>
          <w:szCs w:val="20"/>
          <w:color w:val="auto"/>
        </w:rPr>
      </w:pPr>
    </w:p>
    <w:p>
      <w:pPr>
        <w:ind w:left="4140" w:hanging="388"/>
        <w:spacing w:after="0"/>
        <w:tabs>
          <w:tab w:leader="none" w:pos="414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reasons for conducting such business at the annual meeting;</w:t>
      </w:r>
    </w:p>
    <w:p>
      <w:pPr>
        <w:spacing w:after="0" w:line="215" w:lineRule="exact"/>
        <w:rPr>
          <w:rFonts w:ascii="Times New Roman" w:cs="Times New Roman" w:eastAsia="Times New Roman" w:hAnsi="Times New Roman"/>
          <w:sz w:val="20"/>
          <w:szCs w:val="20"/>
          <w:color w:val="auto"/>
        </w:rPr>
      </w:pPr>
    </w:p>
    <w:p>
      <w:pPr>
        <w:jc w:val="both"/>
        <w:ind w:firstLine="3752"/>
        <w:spacing w:after="0" w:line="254" w:lineRule="auto"/>
        <w:tabs>
          <w:tab w:leader="none" w:pos="414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interest in such business of such stockholder giving the notice and the beneficial owner, if any, on whose behalf the proposal is made, and their respective affiliates and associates, or others acting in concert with them; and</w:t>
      </w:r>
    </w:p>
    <w:p>
      <w:pPr>
        <w:spacing w:after="0" w:line="174" w:lineRule="exact"/>
        <w:rPr>
          <w:rFonts w:ascii="Times New Roman" w:cs="Times New Roman" w:eastAsia="Times New Roman" w:hAnsi="Times New Roman"/>
          <w:sz w:val="20"/>
          <w:szCs w:val="20"/>
          <w:color w:val="auto"/>
        </w:rPr>
      </w:pPr>
    </w:p>
    <w:p>
      <w:pPr>
        <w:jc w:val="both"/>
        <w:ind w:firstLine="3752"/>
        <w:spacing w:after="0" w:line="254" w:lineRule="auto"/>
        <w:tabs>
          <w:tab w:leader="none" w:pos="414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agreements, arrangements and understandings between such stockholder and the beneficial owner, if any, on whose behalf the proposal is made, and their respective affiliates or associates or others acting in concert with them, and any other persons (including their names) in connection with the proposal of such business by such stockholder; and</w:t>
      </w:r>
    </w:p>
    <w:p>
      <w:pPr>
        <w:spacing w:after="0" w:line="174" w:lineRule="exact"/>
        <w:rPr>
          <w:rFonts w:ascii="Times New Roman" w:cs="Times New Roman" w:eastAsia="Times New Roman" w:hAnsi="Times New Roman"/>
          <w:sz w:val="20"/>
          <w:szCs w:val="20"/>
          <w:color w:val="auto"/>
        </w:rPr>
      </w:pPr>
    </w:p>
    <w:p>
      <w:pPr>
        <w:ind w:left="3400" w:hanging="397"/>
        <w:spacing w:after="0"/>
        <w:tabs>
          <w:tab w:leader="none" w:pos="34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the stockholder giving the notice and the beneficial owner, if any, on whose behalf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nomination or proposal is made:</w:t>
      </w:r>
    </w:p>
    <w:p>
      <w:pPr>
        <w:spacing w:after="0" w:line="193" w:lineRule="exact"/>
        <w:rPr>
          <w:rFonts w:ascii="Times New Roman" w:cs="Times New Roman" w:eastAsia="Times New Roman" w:hAnsi="Times New Roman"/>
          <w:sz w:val="20"/>
          <w:szCs w:val="20"/>
          <w:color w:val="auto"/>
        </w:rPr>
      </w:pPr>
    </w:p>
    <w:p>
      <w:pPr>
        <w:ind w:left="4140" w:hanging="388"/>
        <w:spacing w:after="0"/>
        <w:tabs>
          <w:tab w:leader="none" w:pos="414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address of such stockholder (as they appear on the Company’s books), of</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beneficial owner, and of their respective affiliates or associates or others acting in concert with them;</w:t>
      </w:r>
    </w:p>
    <w:p>
      <w:pPr>
        <w:spacing w:after="0" w:line="193" w:lineRule="exact"/>
        <w:rPr>
          <w:rFonts w:ascii="Times New Roman" w:cs="Times New Roman" w:eastAsia="Times New Roman" w:hAnsi="Times New Roman"/>
          <w:sz w:val="20"/>
          <w:szCs w:val="20"/>
          <w:color w:val="auto"/>
        </w:rPr>
      </w:pPr>
    </w:p>
    <w:p>
      <w:pPr>
        <w:jc w:val="both"/>
        <w:ind w:firstLine="3752"/>
        <w:spacing w:after="0" w:line="254" w:lineRule="auto"/>
        <w:tabs>
          <w:tab w:leader="none" w:pos="414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each class or series, the number of shares of stock of the Company that are, directly or indirectly, held of record or are beneficially owned by such stockholder, such beneficial owner or their respective affiliates or associates or others acting in concert with them;</w:t>
      </w:r>
    </w:p>
    <w:p>
      <w:pPr>
        <w:spacing w:after="0" w:line="174" w:lineRule="exact"/>
        <w:rPr>
          <w:rFonts w:ascii="Times New Roman" w:cs="Times New Roman" w:eastAsia="Times New Roman" w:hAnsi="Times New Roman"/>
          <w:sz w:val="20"/>
          <w:szCs w:val="20"/>
          <w:color w:val="auto"/>
        </w:rPr>
      </w:pPr>
    </w:p>
    <w:p>
      <w:pPr>
        <w:jc w:val="both"/>
        <w:ind w:firstLine="3752"/>
        <w:spacing w:after="0" w:line="254" w:lineRule="auto"/>
        <w:tabs>
          <w:tab w:leader="none" w:pos="414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 arrangement or understanding between such stockholder, such beneficial owner or their respective affiliates or associates or others acting in concert with them, and any other person or persons (including, in each case, their names) in connection with the proposal of such nomination or other business;</w:t>
      </w:r>
    </w:p>
    <w:p>
      <w:pPr>
        <w:spacing w:after="0" w:line="174" w:lineRule="exact"/>
        <w:rPr>
          <w:rFonts w:ascii="Times New Roman" w:cs="Times New Roman" w:eastAsia="Times New Roman" w:hAnsi="Times New Roman"/>
          <w:sz w:val="20"/>
          <w:szCs w:val="20"/>
          <w:color w:val="auto"/>
        </w:rPr>
      </w:pPr>
    </w:p>
    <w:p>
      <w:pPr>
        <w:jc w:val="both"/>
        <w:ind w:firstLine="3752"/>
        <w:spacing w:after="0" w:line="243" w:lineRule="auto"/>
        <w:tabs>
          <w:tab w:leader="none" w:pos="414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 agreement, arrangement or understanding (including, without limitation and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such stockholder, such beneficial owner or their respective affiliates or associates or others acting in concert with them with respect to the Company’s securities (any of the foregoing, a “</w:t>
      </w:r>
      <w:r>
        <w:rPr>
          <w:rFonts w:ascii="Times New Roman" w:cs="Times New Roman" w:eastAsia="Times New Roman" w:hAnsi="Times New Roman"/>
          <w:sz w:val="20"/>
          <w:szCs w:val="20"/>
          <w:b w:val="1"/>
          <w:bCs w:val="1"/>
          <w:color w:val="auto"/>
        </w:rPr>
        <w:t>Derivative Instrument</w:t>
      </w:r>
      <w:r>
        <w:rPr>
          <w:rFonts w:ascii="Times New Roman" w:cs="Times New Roman" w:eastAsia="Times New Roman" w:hAnsi="Times New Roman"/>
          <w:sz w:val="20"/>
          <w:szCs w:val="20"/>
          <w:color w:val="auto"/>
        </w:rPr>
        <w:t>”) including the full notional amount of any securities that, directly or indirectly, underlie any Derivative Instrument; and (ii) other agreement, arrangement or understanding that has been made the effect or intent of which is to create or mitigate loss to, manage risk or benefit of share price changes for, or increase or decrease the voting power of, such stockholder, such beneficial owner or their respective affiliates or associates or others acting in concert with them with respect to the Company’s securities;</w:t>
      </w:r>
    </w:p>
    <w:p>
      <w:pPr>
        <w:spacing w:after="0" w:line="185" w:lineRule="exact"/>
        <w:rPr>
          <w:rFonts w:ascii="Times New Roman" w:cs="Times New Roman" w:eastAsia="Times New Roman" w:hAnsi="Times New Roman"/>
          <w:sz w:val="20"/>
          <w:szCs w:val="20"/>
          <w:color w:val="auto"/>
        </w:rPr>
      </w:pPr>
    </w:p>
    <w:p>
      <w:pPr>
        <w:jc w:val="both"/>
        <w:ind w:firstLine="3752"/>
        <w:spacing w:after="0" w:line="247" w:lineRule="auto"/>
        <w:tabs>
          <w:tab w:leader="none" w:pos="414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proxy, contract, arrangement, understanding or relationship pursuant to which such stockholder, such beneficial owner or their respective affiliates or associates or others acting in concert with them has a right to vote any shares of any security of the Company;</w:t>
      </w:r>
    </w:p>
    <w:p>
      <w:pPr>
        <w:ind w:left="5580" w:hanging="121"/>
        <w:spacing w:after="0"/>
        <w:tabs>
          <w:tab w:leader="none" w:pos="5580" w:val="left"/>
        </w:tabs>
        <w:numPr>
          <w:ilvl w:val="2"/>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7" w:name="page38"/>
    <w:bookmarkEnd w:id="37"/>
    <w:p>
      <w:pPr>
        <w:jc w:val="both"/>
        <w:ind w:left="-1120" w:firstLine="3752"/>
        <w:spacing w:after="0" w:line="254" w:lineRule="auto"/>
        <w:tabs>
          <w:tab w:leader="none" w:pos="30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rights to dividends on the Company’s securities owned beneficially by such stockholder, such beneficial owner or their respective affiliates or associates or others acting in concert with them that are separated or separable from the underlying security;</w:t>
      </w:r>
    </w:p>
    <w:p>
      <w:pPr>
        <w:spacing w:after="0" w:line="174" w:lineRule="exact"/>
        <w:rPr>
          <w:rFonts w:ascii="Times New Roman" w:cs="Times New Roman" w:eastAsia="Times New Roman" w:hAnsi="Times New Roman"/>
          <w:sz w:val="20"/>
          <w:szCs w:val="20"/>
          <w:color w:val="auto"/>
        </w:rPr>
      </w:pPr>
    </w:p>
    <w:p>
      <w:pPr>
        <w:jc w:val="both"/>
        <w:ind w:left="-1120" w:firstLine="3752"/>
        <w:spacing w:after="0" w:line="249" w:lineRule="auto"/>
        <w:tabs>
          <w:tab w:leader="none" w:pos="30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proportionate interest in the Company’s securities or Derivative Instruments held, directly or indirectly, by a general or limited partnership in which such stockholder, such beneficial owner or their respective affiliates or associates or others acting in concert with them is a general partner or, directly or indirectly, beneficially owns an interest in a general partner of such general or limited partnership;</w:t>
      </w:r>
    </w:p>
    <w:p>
      <w:pPr>
        <w:spacing w:after="0" w:line="179" w:lineRule="exact"/>
        <w:rPr>
          <w:rFonts w:ascii="Times New Roman" w:cs="Times New Roman" w:eastAsia="Times New Roman" w:hAnsi="Times New Roman"/>
          <w:sz w:val="20"/>
          <w:szCs w:val="20"/>
          <w:color w:val="auto"/>
        </w:rPr>
      </w:pPr>
    </w:p>
    <w:p>
      <w:pPr>
        <w:jc w:val="both"/>
        <w:ind w:left="-1120" w:firstLine="3752"/>
        <w:spacing w:after="0" w:line="249" w:lineRule="auto"/>
        <w:tabs>
          <w:tab w:leader="none" w:pos="30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performance-related fees (other than an asset-based fee) that such stockholder, such beneficial owner or their respective affiliates or associates or others acting in concert with them is entitled to based on any increase or decrease in the value of the Company’s securities or Derivative Instruments, including, without limitation, any such interests held by members of the immediate family of such persons sharing the same household;</w:t>
      </w:r>
    </w:p>
    <w:p>
      <w:pPr>
        <w:spacing w:after="0" w:line="179" w:lineRule="exact"/>
        <w:rPr>
          <w:rFonts w:ascii="Times New Roman" w:cs="Times New Roman" w:eastAsia="Times New Roman" w:hAnsi="Times New Roman"/>
          <w:sz w:val="20"/>
          <w:szCs w:val="20"/>
          <w:color w:val="auto"/>
        </w:rPr>
      </w:pPr>
    </w:p>
    <w:p>
      <w:pPr>
        <w:jc w:val="both"/>
        <w:ind w:left="-1120" w:firstLine="3752"/>
        <w:spacing w:after="0" w:line="254" w:lineRule="auto"/>
        <w:tabs>
          <w:tab w:leader="none" w:pos="30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significant equity interests or any Derivative Instruments in any principal competitor of the Company that are held by such stockholder, such beneficial owner or their respective affiliates or associates or others acting in concert with them;</w:t>
      </w:r>
    </w:p>
    <w:p>
      <w:pPr>
        <w:spacing w:after="0" w:line="174" w:lineRule="exact"/>
        <w:rPr>
          <w:rFonts w:ascii="Times New Roman" w:cs="Times New Roman" w:eastAsia="Times New Roman" w:hAnsi="Times New Roman"/>
          <w:sz w:val="20"/>
          <w:szCs w:val="20"/>
          <w:color w:val="auto"/>
        </w:rPr>
      </w:pPr>
    </w:p>
    <w:p>
      <w:pPr>
        <w:jc w:val="both"/>
        <w:ind w:left="-1120" w:firstLine="3752"/>
        <w:spacing w:after="0" w:line="249" w:lineRule="auto"/>
        <w:tabs>
          <w:tab w:leader="none" w:pos="30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direct or indirect interest of such stockholder, such beneficial owner or their respective affiliates or associates or others acting in concert with them in any contract with the Company, any affiliate of the Company or any principal competitor of the Company (in each case, including, without limitation, any employment agreement, collective bargaining agreement or consulting agreement);</w:t>
      </w:r>
    </w:p>
    <w:p>
      <w:pPr>
        <w:spacing w:after="0" w:line="179" w:lineRule="exact"/>
        <w:rPr>
          <w:rFonts w:ascii="Times New Roman" w:cs="Times New Roman" w:eastAsia="Times New Roman" w:hAnsi="Times New Roman"/>
          <w:sz w:val="20"/>
          <w:szCs w:val="20"/>
          <w:color w:val="auto"/>
        </w:rPr>
      </w:pPr>
    </w:p>
    <w:p>
      <w:pPr>
        <w:jc w:val="both"/>
        <w:ind w:left="-1120" w:firstLine="3752"/>
        <w:spacing w:after="0" w:line="254" w:lineRule="auto"/>
        <w:tabs>
          <w:tab w:leader="none" w:pos="30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pending or threatened legal proceeding in which such stockholder, such beneficial owner or their respective affiliates or associates or others acting in concert with them is a party or material participant involving the Company or any of its officers, directors or affiliates;</w:t>
      </w:r>
    </w:p>
    <w:p>
      <w:pPr>
        <w:spacing w:after="0" w:line="174" w:lineRule="exact"/>
        <w:rPr>
          <w:rFonts w:ascii="Times New Roman" w:cs="Times New Roman" w:eastAsia="Times New Roman" w:hAnsi="Times New Roman"/>
          <w:sz w:val="20"/>
          <w:szCs w:val="20"/>
          <w:color w:val="auto"/>
        </w:rPr>
      </w:pPr>
    </w:p>
    <w:p>
      <w:pPr>
        <w:jc w:val="both"/>
        <w:ind w:left="-1120" w:firstLine="3752"/>
        <w:spacing w:after="0" w:line="254" w:lineRule="auto"/>
        <w:tabs>
          <w:tab w:leader="none" w:pos="30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relationship between such stockholder, such beneficial owner or their respective affiliates or associates or others acting in concert with them, on the one hand, and the Company or any of its officers, directors or affiliates, on the other hand;</w:t>
      </w:r>
    </w:p>
    <w:p>
      <w:pPr>
        <w:spacing w:after="0" w:line="174" w:lineRule="exact"/>
        <w:rPr>
          <w:rFonts w:ascii="Times New Roman" w:cs="Times New Roman" w:eastAsia="Times New Roman" w:hAnsi="Times New Roman"/>
          <w:sz w:val="20"/>
          <w:szCs w:val="20"/>
          <w:color w:val="auto"/>
        </w:rPr>
      </w:pPr>
    </w:p>
    <w:p>
      <w:pPr>
        <w:jc w:val="both"/>
        <w:ind w:left="-1120" w:firstLine="3752"/>
        <w:spacing w:after="0" w:line="254" w:lineRule="auto"/>
        <w:tabs>
          <w:tab w:leader="none" w:pos="30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and undertaking that the stockholder is a holder of record of stock of the Company as of the date of submission of the stockholder’s notice and intends to appear in person or by proxy at the annual meeting to bring such nomination or other business before the annual meeting;</w:t>
      </w:r>
    </w:p>
    <w:p>
      <w:pPr>
        <w:spacing w:after="0" w:line="174" w:lineRule="exact"/>
        <w:rPr>
          <w:rFonts w:ascii="Times New Roman" w:cs="Times New Roman" w:eastAsia="Times New Roman" w:hAnsi="Times New Roman"/>
          <w:sz w:val="20"/>
          <w:szCs w:val="20"/>
          <w:color w:val="auto"/>
        </w:rPr>
      </w:pPr>
    </w:p>
    <w:p>
      <w:pPr>
        <w:jc w:val="both"/>
        <w:ind w:left="-1120" w:firstLine="3752"/>
        <w:spacing w:after="0" w:line="242" w:lineRule="auto"/>
        <w:tabs>
          <w:tab w:leader="none" w:pos="30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and undertaking as to whether such stockholder, such beneficial owner or their respective affiliates or associates or others acting in concert with them intends, or is part of a group that intends, to (x) deliver a proxy statement or form of proxy to holders of at least the percentage of the voting power of the Company’s then-outstanding stock required to approve or adopt the proposal or to elect each such nominee (which representation and undertaking must include a statement as to whether such stockholder, such beneficial owner or their respective affiliates or associates or others acting in concert with them intends to solicit the requisite percentage of the voting power of the Company’s stock under Rule 14a-19 of the 1934 Act); or (y) otherwise solicit proxies from stockholders in support of such proposal or nomination;</w:t>
      </w:r>
    </w:p>
    <w:p>
      <w:pPr>
        <w:spacing w:after="0" w:line="5" w:lineRule="exact"/>
        <w:rPr>
          <w:rFonts w:ascii="Times New Roman" w:cs="Times New Roman" w:eastAsia="Times New Roman" w:hAnsi="Times New Roman"/>
          <w:sz w:val="20"/>
          <w:szCs w:val="20"/>
          <w:color w:val="auto"/>
        </w:rPr>
      </w:pPr>
    </w:p>
    <w:p>
      <w:pPr>
        <w:ind w:left="4460" w:hanging="121"/>
        <w:spacing w:after="0"/>
        <w:tabs>
          <w:tab w:leader="none" w:pos="446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55880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62" w:right="339" w:bottom="1440" w:gutter="0" w:footer="0" w:header="0"/>
        </w:sectPr>
      </w:pPr>
    </w:p>
    <w:bookmarkStart w:id="38" w:name="page39"/>
    <w:bookmarkEnd w:id="38"/>
    <w:p>
      <w:pPr>
        <w:jc w:val="both"/>
        <w:ind w:firstLine="3752"/>
        <w:spacing w:after="0" w:line="249" w:lineRule="auto"/>
        <w:tabs>
          <w:tab w:leader="none" w:pos="4140" w:val="left"/>
        </w:tabs>
        <w:numPr>
          <w:ilvl w:val="2"/>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information relating to such stockholder, such beneficial owner or their respective affiliates or associates or others acting in concert with them, or director nominee or proposed business, that, in each case, would be required to be disclosed in a proxy statement or other filing required to be made in connection with the solicitation of proxies in support of such nominee (in a contested election of directors) or proposal pursuant to Section 14 of the 1934 Act; and</w:t>
      </w:r>
    </w:p>
    <w:p>
      <w:pPr>
        <w:spacing w:after="0" w:line="179" w:lineRule="exact"/>
        <w:rPr>
          <w:rFonts w:ascii="Times New Roman" w:cs="Times New Roman" w:eastAsia="Times New Roman" w:hAnsi="Times New Roman"/>
          <w:sz w:val="20"/>
          <w:szCs w:val="20"/>
          <w:color w:val="auto"/>
        </w:rPr>
      </w:pPr>
    </w:p>
    <w:p>
      <w:pPr>
        <w:ind w:left="4140" w:hanging="388"/>
        <w:spacing w:after="0"/>
        <w:tabs>
          <w:tab w:leader="none" w:pos="4140" w:val="left"/>
        </w:tabs>
        <w:numPr>
          <w:ilvl w:val="2"/>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information relating to any proposed item of business as the Company may</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reasonably require to determine whether such proposed item of business is a proper matter for stockholder action.</w:t>
      </w:r>
    </w:p>
    <w:p>
      <w:pPr>
        <w:spacing w:after="0" w:line="193" w:lineRule="exact"/>
        <w:rPr>
          <w:rFonts w:ascii="Times New Roman" w:cs="Times New Roman" w:eastAsia="Times New Roman" w:hAnsi="Times New Roman"/>
          <w:sz w:val="20"/>
          <w:szCs w:val="20"/>
          <w:color w:val="auto"/>
        </w:rPr>
      </w:pPr>
    </w:p>
    <w:p>
      <w:pPr>
        <w:jc w:val="both"/>
        <w:ind w:firstLine="2254"/>
        <w:spacing w:after="0"/>
        <w:tabs>
          <w:tab w:leader="none" w:pos="2642"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requirements of this Section 2.4, to be timely, a stockholder’s notice (and any additional information submitted to the Company in connection therewith) must further be updated and supplemented (1) if necessary, so that the information provided or required to be provided in such notice is true and correct as of the record date(s) for determining the stockholders entitled to notice of, and to vote at, the annual meeting and as of the date that is 10 business days prior to the annual meeting or any adjournment, rescheduling, postponement or other delay thereof; and (2) to provide any additional information that the Company may reasonably request. Any such update and supplement or additional information (including, if requested pursuant to Section 2.4(a)(iii)(3)(P)) must be received by the secretary at the principal executive offices of the Company (A) in the case of a request for additional information, promptly following a request therefor, which response must be received by the secretary not later than such reasonable time as is specified in any such request from the Company; or (B) in the case of any other update or supplement of any information, not later than five business days after the record date(s) for the annual meeting (in the case of any update and supplement required to be made as of the record date(s)), and not later than eight business days prior to the date for the annual meeting or any adjournment, rescheduling, postponement or other delay thereof (in the case of any update or supplement required to be made as of 10 business days prior to the annual meeting or any adjournment, rescheduling, postponement or other delay thereof). No later than five business days prior to the annual meeting or any adjournment, rescheduling, postponement or other delay thereof, a stockholder nominating individuals for election as a director will provide the Company with reasonable evidence that such stockholder has met the requirements of Rule 14a-19. The failure to timely provide such update, supplement, evidence or additional information shall result in the nomination or proposal no longer being eligible for consideration at the annual meeting. If the stockholder fails to comply with the requirements of Rule 14a-19 (including because the stockholder fails to provide the Company with all information or notices required by Rule 14a-19), then the director nominees proposed by such stockholder shall be ineligible for election at the annual meeting and any votes or proxies in respect of such nomination shall be disregarded, notwithstanding that such proxies may have been received by the Company and counted for the purposes of determining quorum. For the avoidance of doubt, the obligation to update and supplement, or provide additional information or evidence, as set forth in these bylaws shall not limit the Company’s rights with respect to any deficiencies in any notice provided by a stockholder, extend any applicable deadlines pursuant to these bylaws or enable or be deemed to permit a stockholder who has previously submitted notice pursuant to these bylaws to amend or update any nomination or to submit any new nomination. No disclosure pursuant to these bylaws will be required with respect to the ordinary course business activities of any broker, dealer, commercial bank, trust company or other nominee who is the stockholder submitting a notice pursuant to this Section 2.4 solely because such broker, dealer, commercial bank, trust company or other nominee has been directed to prepare and submit the notice required by these bylaws on behalf of a beneficial owner.</w:t>
      </w:r>
    </w:p>
    <w:p>
      <w:pPr>
        <w:spacing w:after="0" w:line="199"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Special Meetings of Stockholders</w:t>
      </w:r>
      <w:r>
        <w:rPr>
          <w:rFonts w:ascii="Times New Roman" w:cs="Times New Roman" w:eastAsia="Times New Roman" w:hAnsi="Times New Roman"/>
          <w:sz w:val="20"/>
          <w:szCs w:val="20"/>
          <w:color w:val="auto"/>
        </w:rPr>
        <w:t>. Except to the extent required by the DGCL, and subject to Section 2.3(a), special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meetings of stockholders may be called only in accordance with the Company’s certificate of incorporation and these bylaws. Only such business will be conducted at a special meeting of stockholders as has been brought before the special meeting pursuant to the Company’s notice of meeting. If the election of directors is included as business to be brought before a special meeting in the</w:t>
      </w:r>
    </w:p>
    <w:p>
      <w:pPr>
        <w:spacing w:after="0" w:line="1" w:lineRule="exact"/>
        <w:rPr>
          <w:rFonts w:ascii="Times New Roman" w:cs="Times New Roman" w:eastAsia="Times New Roman" w:hAnsi="Times New Roman"/>
          <w:sz w:val="20"/>
          <w:szCs w:val="20"/>
          <w:color w:val="auto"/>
        </w:rPr>
      </w:pPr>
    </w:p>
    <w:p>
      <w:pPr>
        <w:ind w:left="5580" w:hanging="121"/>
        <w:spacing w:after="0"/>
        <w:tabs>
          <w:tab w:leader="none" w:pos="5580" w:val="left"/>
        </w:tabs>
        <w:numPr>
          <w:ilvl w:val="3"/>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39" w:name="page40"/>
    <w:bookmarkEnd w:id="39"/>
    <w:p>
      <w:pPr>
        <w:jc w:val="both"/>
        <w:spacing w:after="0" w:line="241" w:lineRule="auto"/>
        <w:rPr>
          <w:sz w:val="20"/>
          <w:szCs w:val="20"/>
          <w:color w:val="auto"/>
        </w:rPr>
      </w:pPr>
      <w:r>
        <w:rPr>
          <w:rFonts w:ascii="Times New Roman" w:cs="Times New Roman" w:eastAsia="Times New Roman" w:hAnsi="Times New Roman"/>
          <w:sz w:val="20"/>
          <w:szCs w:val="20"/>
          <w:color w:val="auto"/>
        </w:rPr>
        <w:t>Company’s notice of meeting, then nominations of persons for election to the Board of Directors at such special meeting may be made by any stockholder who (i) is a stockholder of record at the time of giving of the notice contemplated by this Section 2.4(b); (ii) is a stockholder of record on the record date for the determination of stockholders entitled to notice of the special meeting; (iii) is a stockholder of record on the record date for the determination of stockholders entitled to vote at the special meeting; (iv) is a stockholder of record at the time of the special meeting; and (v) complies with the procedures set forth in this Section 2.4(b) (with such procedures that the Company deems to be applicable to such special meeting). For nominations to be properly brought by a stockholder before a special meeting pursuant to this Section 2.4(b), the stockholder’s notice must be received by the secretary at the principal executive offices of the Company no earlier than 8:00 a.m., Eastern time, on the 120th day prior to the day of the special meeting and no later than 5:00 p.m., Eastern time, on the 10th day following the day on which public announcement of the date of the special meeting was first made. In no event will any adjournment, rescheduling, postponement or other delay of a special meeting or any announcement thereof commence a new time period (or extend any time period) for the giving of a stockholder’s notice as described above. A stockholder’s notice to the secretary must comply with the applicable notice requirements of Section 2.4(a)(iii), with references therein to “annual meeting” deemed to mean “special meeting” for the purposes of this final sentence of this Section 2.4(b).</w:t>
      </w:r>
    </w:p>
    <w:p>
      <w:pPr>
        <w:spacing w:after="0" w:line="193" w:lineRule="exact"/>
        <w:rPr>
          <w:sz w:val="20"/>
          <w:szCs w:val="20"/>
          <w:color w:val="auto"/>
        </w:rPr>
      </w:pPr>
    </w:p>
    <w:p>
      <w:pPr>
        <w:ind w:left="1900" w:hanging="395"/>
        <w:spacing w:after="0"/>
        <w:tabs>
          <w:tab w:leader="none" w:pos="190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Other Requirements and Procedures.</w:t>
      </w:r>
    </w:p>
    <w:p>
      <w:pPr>
        <w:spacing w:after="0" w:line="219" w:lineRule="exact"/>
        <w:rPr>
          <w:rFonts w:ascii="Times New Roman" w:cs="Times New Roman" w:eastAsia="Times New Roman" w:hAnsi="Times New Roman"/>
          <w:sz w:val="20"/>
          <w:szCs w:val="20"/>
          <w:color w:val="auto"/>
        </w:rPr>
      </w:pPr>
    </w:p>
    <w:p>
      <w:pPr>
        <w:jc w:val="both"/>
        <w:ind w:firstLine="2254"/>
        <w:spacing w:after="0" w:line="250" w:lineRule="auto"/>
        <w:tabs>
          <w:tab w:leader="none" w:pos="2642" w:val="left"/>
        </w:tabs>
        <w:numPr>
          <w:ilvl w:val="2"/>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be eligible to be a nominee of any stockholder for election as a director of the Company, the proposed nominee must provide to the secretary, in accordance with the applicable time periods prescribed for delivery of notice under Section 2.4(a)</w:t>
      </w:r>
    </w:p>
    <w:p>
      <w:pPr>
        <w:spacing w:after="0" w:line="1"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Section 2.4(b):</w:t>
      </w:r>
    </w:p>
    <w:p>
      <w:pPr>
        <w:spacing w:after="0" w:line="193" w:lineRule="exact"/>
        <w:rPr>
          <w:rFonts w:ascii="Times New Roman" w:cs="Times New Roman" w:eastAsia="Times New Roman" w:hAnsi="Times New Roman"/>
          <w:sz w:val="20"/>
          <w:szCs w:val="20"/>
          <w:color w:val="auto"/>
        </w:rPr>
      </w:pPr>
    </w:p>
    <w:p>
      <w:pPr>
        <w:jc w:val="both"/>
        <w:ind w:firstLine="3003"/>
        <w:spacing w:after="0" w:line="246" w:lineRule="auto"/>
        <w:tabs>
          <w:tab w:leader="none" w:pos="3391" w:val="left"/>
        </w:tabs>
        <w:numPr>
          <w:ilvl w:val="3"/>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signed and completed written questionnaire (in the form provided by the secretary at the written request of the nominating stockholder, which form will be provided by the secretary within 10 days of receiving such request) containing information regarding such nominee’s background and qualifications and such other information as may reasonably be required by the Company to determine the eligibility of such nominee to serve as a director of the Company or to serve as an independent director of the Company;</w:t>
      </w:r>
    </w:p>
    <w:p>
      <w:pPr>
        <w:spacing w:after="0" w:line="184" w:lineRule="exact"/>
        <w:rPr>
          <w:rFonts w:ascii="Times New Roman" w:cs="Times New Roman" w:eastAsia="Times New Roman" w:hAnsi="Times New Roman"/>
          <w:sz w:val="20"/>
          <w:szCs w:val="20"/>
          <w:color w:val="auto"/>
        </w:rPr>
      </w:pPr>
    </w:p>
    <w:p>
      <w:pPr>
        <w:jc w:val="both"/>
        <w:ind w:firstLine="3003"/>
        <w:spacing w:after="0" w:line="254" w:lineRule="auto"/>
        <w:tabs>
          <w:tab w:leader="none" w:pos="3391" w:val="left"/>
        </w:tabs>
        <w:numPr>
          <w:ilvl w:val="3"/>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representation and undertaking that, unless previously disclosed to the Company, such nominee is not, and will not become, a party to any voting agreement, arrangement, commitment, assurance or understanding with any person or entity as to how such nominee, if elected as a director, will vote on any issue;</w:t>
      </w:r>
    </w:p>
    <w:p>
      <w:pPr>
        <w:spacing w:after="0" w:line="174" w:lineRule="exact"/>
        <w:rPr>
          <w:rFonts w:ascii="Times New Roman" w:cs="Times New Roman" w:eastAsia="Times New Roman" w:hAnsi="Times New Roman"/>
          <w:sz w:val="20"/>
          <w:szCs w:val="20"/>
          <w:color w:val="auto"/>
        </w:rPr>
      </w:pPr>
    </w:p>
    <w:p>
      <w:pPr>
        <w:ind w:right="20" w:firstLine="3003"/>
        <w:spacing w:after="0" w:line="269" w:lineRule="auto"/>
        <w:tabs>
          <w:tab w:leader="none" w:pos="3391" w:val="left"/>
        </w:tabs>
        <w:numPr>
          <w:ilvl w:val="3"/>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representation and undertaking that, unless previously disclosed to the Company, such nominee is not, and will not become, a party to any Third-Party Compensation Arrangement;</w:t>
      </w:r>
    </w:p>
    <w:p>
      <w:pPr>
        <w:spacing w:after="0" w:line="159" w:lineRule="exact"/>
        <w:rPr>
          <w:rFonts w:ascii="Times New Roman" w:cs="Times New Roman" w:eastAsia="Times New Roman" w:hAnsi="Times New Roman"/>
          <w:sz w:val="20"/>
          <w:szCs w:val="20"/>
          <w:color w:val="auto"/>
        </w:rPr>
      </w:pPr>
    </w:p>
    <w:p>
      <w:pPr>
        <w:jc w:val="both"/>
        <w:ind w:firstLine="3003"/>
        <w:spacing w:after="0" w:line="246" w:lineRule="auto"/>
        <w:tabs>
          <w:tab w:leader="none" w:pos="3391" w:val="left"/>
        </w:tabs>
        <w:numPr>
          <w:ilvl w:val="3"/>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representation and undertaking that, if elected as a director, such nominee would be in compliance, and will continue to comply, with the Company’s corporate governance, conflict of interest, confidentiality, stock ownership and trading guidelines, and other policies and guidelines applicable to directors and in effect during such person’s term in office as a director (and, if requested by any candidate for nomination, the secretary will provide to such proposed nominee all such policies and guidelines then in effect); and</w:t>
      </w:r>
    </w:p>
    <w:p>
      <w:pPr>
        <w:spacing w:after="0" w:line="184" w:lineRule="exact"/>
        <w:rPr>
          <w:rFonts w:ascii="Times New Roman" w:cs="Times New Roman" w:eastAsia="Times New Roman" w:hAnsi="Times New Roman"/>
          <w:sz w:val="20"/>
          <w:szCs w:val="20"/>
          <w:color w:val="auto"/>
        </w:rPr>
      </w:pPr>
    </w:p>
    <w:p>
      <w:pPr>
        <w:ind w:left="3400" w:hanging="397"/>
        <w:spacing w:after="0"/>
        <w:tabs>
          <w:tab w:leader="none" w:pos="3400" w:val="left"/>
        </w:tabs>
        <w:numPr>
          <w:ilvl w:val="3"/>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representation and undertaking that such nominee, if elected, intends to serve a full term</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Board of Directors.</w:t>
      </w:r>
    </w:p>
    <w:p>
      <w:pPr>
        <w:ind w:left="5580" w:hanging="121"/>
        <w:spacing w:after="0"/>
        <w:tabs>
          <w:tab w:leader="none" w:pos="5580" w:val="left"/>
        </w:tabs>
        <w:numPr>
          <w:ilvl w:val="4"/>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0" w:name="page41"/>
    <w:bookmarkEnd w:id="40"/>
    <w:p>
      <w:pPr>
        <w:jc w:val="both"/>
        <w:ind w:firstLine="2254"/>
        <w:spacing w:after="0" w:line="254" w:lineRule="auto"/>
        <w:tabs>
          <w:tab w:leader="none" w:pos="264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request of the Board of Directors, any person nominated by the Board of Directors for election as a director must furnish to the secretary the information that is required to be set forth in a stockholder’s notice of nomination pertaining to such nominee.</w:t>
      </w:r>
    </w:p>
    <w:p>
      <w:pPr>
        <w:spacing w:after="0" w:line="174" w:lineRule="exact"/>
        <w:rPr>
          <w:rFonts w:ascii="Times New Roman" w:cs="Times New Roman" w:eastAsia="Times New Roman" w:hAnsi="Times New Roman"/>
          <w:sz w:val="20"/>
          <w:szCs w:val="20"/>
          <w:color w:val="auto"/>
        </w:rPr>
      </w:pPr>
    </w:p>
    <w:p>
      <w:pPr>
        <w:jc w:val="both"/>
        <w:ind w:firstLine="2254"/>
        <w:spacing w:after="0" w:line="254" w:lineRule="auto"/>
        <w:tabs>
          <w:tab w:leader="none" w:pos="264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person will be eligible to be nominated by a stockholder for election as a director of the Company, or to be seated as a director of the Company, unless nominated and elected in accordance with the procedures set forth in this Section 2.4. No business proposed by a stockholder will be conducted at a stockholder meeting except in accordance with this Section 2.4.</w:t>
      </w:r>
    </w:p>
    <w:p>
      <w:pPr>
        <w:spacing w:after="0" w:line="174" w:lineRule="exact"/>
        <w:rPr>
          <w:rFonts w:ascii="Times New Roman" w:cs="Times New Roman" w:eastAsia="Times New Roman" w:hAnsi="Times New Roman"/>
          <w:sz w:val="20"/>
          <w:szCs w:val="20"/>
          <w:color w:val="auto"/>
        </w:rPr>
      </w:pPr>
    </w:p>
    <w:p>
      <w:pPr>
        <w:jc w:val="both"/>
        <w:ind w:firstLine="2254"/>
        <w:spacing w:after="0" w:line="266" w:lineRule="auto"/>
        <w:tabs>
          <w:tab w:leader="none" w:pos="2642"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chairperson of the applicable meeting of stockholders will, if the facts warrant, determine and declare to the meeting that a nomination was not made in accordance with the procedures prescribed by these bylaws or that other proposed business was not properly brought before the meeting. If the chairperson of the meeting should so determine, then the chairperson of the meeting will so declare to the meeting and the defective nomination will be disregarded or such business will not be transacted, as the case may be.</w:t>
      </w:r>
    </w:p>
    <w:p>
      <w:pPr>
        <w:spacing w:after="0" w:line="165" w:lineRule="exact"/>
        <w:rPr>
          <w:rFonts w:ascii="Times New Roman" w:cs="Times New Roman" w:eastAsia="Times New Roman" w:hAnsi="Times New Roman"/>
          <w:sz w:val="19"/>
          <w:szCs w:val="19"/>
          <w:color w:val="auto"/>
        </w:rPr>
      </w:pPr>
    </w:p>
    <w:p>
      <w:pPr>
        <w:jc w:val="both"/>
        <w:ind w:firstLine="2254"/>
        <w:spacing w:after="0" w:line="243" w:lineRule="auto"/>
        <w:tabs>
          <w:tab w:leader="none" w:pos="264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Section 2.4, unless otherwise required by law, if the stockholder (or a qualified representative of the stockholder) does not appear in person at the meeting to present a nomination or other proposed business, such nomination will be disregarded or such business will not be transacted, as the case may be, notwithstanding that proxies in respect of such nomination or business may have been received by the Company and counted for purposes of determining a quorum. For purposes of this Section 2.4,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and such person must produce such writing or electronic transmission, or a reliable reproduction of the writing or electronic transmission, at the meeting.</w:t>
      </w:r>
    </w:p>
    <w:p>
      <w:pPr>
        <w:spacing w:after="0" w:line="189" w:lineRule="exact"/>
        <w:rPr>
          <w:rFonts w:ascii="Times New Roman" w:cs="Times New Roman" w:eastAsia="Times New Roman" w:hAnsi="Times New Roman"/>
          <w:sz w:val="20"/>
          <w:szCs w:val="20"/>
          <w:color w:val="auto"/>
        </w:rPr>
      </w:pPr>
    </w:p>
    <w:p>
      <w:pPr>
        <w:jc w:val="both"/>
        <w:ind w:firstLine="2254"/>
        <w:spacing w:after="0" w:line="246" w:lineRule="auto"/>
        <w:tabs>
          <w:tab w:leader="none" w:pos="264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this Section 2.4, a stockholder must also comply with all applicable requirements of the 1934 Act with respect to the matters set forth in this Section 2.4, it being understood that (1) any references in these bylaws to the 1934 Act are not intended to, and will not, limit any requirements applicable to nominations or proposals as to any other business to be considered pursuant to this Section 2.4; and (2) compliance with clause (4) of Section 2.4(a)(i) and with Section 2.4(b) are the exclusive means for a stockholder to make nominations or submit other business (other than as provided in Section 2.4(c)(vii)).</w:t>
      </w:r>
    </w:p>
    <w:p>
      <w:pPr>
        <w:spacing w:after="0" w:line="184" w:lineRule="exact"/>
        <w:rPr>
          <w:rFonts w:ascii="Times New Roman" w:cs="Times New Roman" w:eastAsia="Times New Roman" w:hAnsi="Times New Roman"/>
          <w:sz w:val="20"/>
          <w:szCs w:val="20"/>
          <w:color w:val="auto"/>
        </w:rPr>
      </w:pPr>
    </w:p>
    <w:p>
      <w:pPr>
        <w:jc w:val="both"/>
        <w:ind w:firstLine="2254"/>
        <w:spacing w:after="0" w:line="237" w:lineRule="exact"/>
        <w:tabs>
          <w:tab w:leader="none" w:pos="264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Section 2.4, the notice requirements set forth in these bylaws with respect to the proposal of any business pursuant to this Section 2.4 will be deemed to be satisfied by a stockholder if (1) such stockholder has submitted a proposal to the Company in compliance with Rule 14a</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8 under the 1934 Act; and (2) such stockholder’s proposal has been included in a proxy statement that has been prepared by the Company to solicit proxies for the meeting of stockholders. Subject to Rule 14a</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8 and other applicable rules and regulations under the 1934 Act, nothing in these bylaws will be construed to permit any stockholder, or give any stockholder the right, to include or have disseminated or described in the Company’s proxy statement any nomination of a director or any other business proposal.</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2.5  NOTICE OF STOCKHOLDERS’ MEETINGS</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Whenever stockholders are required or permitted to take any action at a meeting, a notice of the meeting shall be given in accordance with Section 232 of the DGCL, and such notice shall state the place, if any, date and hour of the meeting, the means of remote communications, if any, by which stockholders</w:t>
      </w:r>
    </w:p>
    <w:p>
      <w:pPr>
        <w:jc w:val="center"/>
        <w:spacing w:after="0"/>
        <w:rPr>
          <w:sz w:val="20"/>
          <w:szCs w:val="20"/>
          <w:color w:val="auto"/>
        </w:rPr>
      </w:pPr>
      <w:r>
        <w:rPr>
          <w:rFonts w:ascii="Times New Roman" w:cs="Times New Roman" w:eastAsia="Times New Roman" w:hAnsi="Times New Roman"/>
          <w:sz w:val="20"/>
          <w:szCs w:val="20"/>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1" w:name="page42"/>
    <w:bookmarkEnd w:id="41"/>
    <w:p>
      <w:pPr>
        <w:jc w:val="both"/>
        <w:spacing w:after="0" w:line="245" w:lineRule="auto"/>
        <w:rPr>
          <w:sz w:val="20"/>
          <w:szCs w:val="20"/>
          <w:color w:val="auto"/>
        </w:rPr>
      </w:pPr>
      <w:r>
        <w:rPr>
          <w:rFonts w:ascii="Times New Roman" w:cs="Times New Roman" w:eastAsia="Times New Roman" w:hAnsi="Times New Roman"/>
          <w:sz w:val="20"/>
          <w:szCs w:val="20"/>
          <w:color w:val="auto"/>
        </w:rPr>
        <w:t>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2.6  QUORUM</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The holders of a majority of the voting power of the capital stock of the Company issued and outstanding and entitled to vote, present in person or represented by proxy, shall constitute a quorum for the transaction of business at all meetings of the stockholders, unless otherwise required by law, the certificate of incorporation, these bylaws or the rules of any applicable stock exchange on which the Company’s securities are listed.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required by law, the certificate of incorporation, these bylaws or the rules of any applicable stock exchange on which the Company’s securities are listed.</w:t>
      </w:r>
    </w:p>
    <w:p>
      <w:pPr>
        <w:spacing w:after="0" w:line="18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If, however, such quorum is not present or represented at any meeting of the stockholders, then either (a) the chairperson of the meeting, or (b)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original meeting.</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2.7  ADJOURNED MEETING; NOTICE</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Unless these bylaws otherwise require, when a meeting is adjourned to another time or place (including an adjournment taken to address a technical failure to convene or continue a meeting using remote communication), notice need not be given of the adjourned meeting if the time, place, if any,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222(a) of the DGCL. At the adjourned meeting, the Company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2.8  CONDUCT OF BUSINESS</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The chairperson of any meeting of stockholders shall determine the order of business and the procedure at the meeting, including such regulation of the manner of voting and the conduct of business and discussion as seem to the chairperson in order. The chairperson of any meeting of stockholders shall</w:t>
      </w:r>
    </w:p>
    <w:p>
      <w:pPr>
        <w:jc w:val="center"/>
        <w:spacing w:after="0"/>
        <w:rPr>
          <w:sz w:val="20"/>
          <w:szCs w:val="20"/>
          <w:color w:val="auto"/>
        </w:rPr>
      </w:pPr>
      <w:r>
        <w:rPr>
          <w:rFonts w:ascii="Times New Roman" w:cs="Times New Roman" w:eastAsia="Times New Roman" w:hAnsi="Times New Roman"/>
          <w:sz w:val="20"/>
          <w:szCs w:val="20"/>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2" w:name="page43"/>
    <w:bookmarkEnd w:id="42"/>
    <w:p>
      <w:pPr>
        <w:jc w:val="both"/>
        <w:spacing w:after="0" w:line="246" w:lineRule="auto"/>
        <w:rPr>
          <w:sz w:val="20"/>
          <w:szCs w:val="20"/>
          <w:color w:val="auto"/>
        </w:rPr>
      </w:pPr>
      <w:r>
        <w:rPr>
          <w:rFonts w:ascii="Times New Roman" w:cs="Times New Roman" w:eastAsia="Times New Roman" w:hAnsi="Times New Roman"/>
          <w:sz w:val="20"/>
          <w:szCs w:val="20"/>
          <w:color w:val="auto"/>
        </w:rPr>
        <w:t>be designated by the Board of Directors; in the absence of such designation, the chairperson of the Board of Directors, if any, or the chief executive officer (in the absence of the chairperson of the Board of Directors) or the president (in the absence of the chairperson of the Board of Directors and the chief executive officer), or in their absence any other executive officer of the Company, shall serve as chairperson of the stockholder meeting. The chairperson of any meeting of stockholders shall have the power to adjourn the meeting to another place, if any, date or time, whether or not a quorum is present.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2.9  VOTING</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Except as may be otherwise provided in the certificate of incorporation, each stockholder shall be entitled to one vote for each share of capital stock held by such stockholder as of the applicable record date that has voting power upon the matter in question.</w:t>
      </w:r>
    </w:p>
    <w:p>
      <w:pPr>
        <w:spacing w:after="0" w:line="15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Except as otherwise provided by law, the certificate of incorporation, these bylaws or the rules of any applicable stock exchange on which the Company’s securities are listed,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outstanding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the voting power of the outstanding shares of such class or series or classes or series present in person or represented by proxy at the meeting and entitled to vote on the subject matter shall be the act of such class or series or classes or series, except as otherwise provided by law, the certificate of incorporation, these bylaws or the rules of the stock exchange on which the securities of the Company are listed.</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2.10 STOCKHOLDER ACTION BY WRITTEN CONSENT WITHOUT A MEETING</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Unless otherwise provided in the Company’s certificate of incorporation and subject to the rights of holders of preferred stock of the Company,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2.11 RECORD DATES</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In order that the Company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3" w:name="page44"/>
    <w:bookmarkEnd w:id="43"/>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A determination of stockholders of record entitled to notice of or to vote at a meeting of stockholders shall apply to any adjournment of the meeting;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spacing w:after="0" w:line="18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2.12 PROXIES</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Each stockholder entitled to vote at a meeting of stockholders, or such stockholder’s authorized officer, director, employee or agent, may authorize another person or persons to act for such stockholder by proxy authorized by a document or by a transmission permitted by law filed in accordance with the procedure established for the meeting, but no such proxy shall be voted or acted upon after three years from its date, unless the proxy provides for a longer period. The authorization of a person to act as a proxy may be documented, signed and delivered in accordance with Section 116 of the DGCL;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authorization shall set forth, or be delivered with information enabling the Company to determine, the identity of the stockholder granting such authorization. The revocability of a proxy that states on its face that it is irrevocable shall be governed by the provisions of Section 212 of the DGCL.</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2.13 LIST OF STOCKHOLDERS ENTITLED TO VOTE</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The Company shall prepare, no later than the tenth day before each meeting of stockholders, a complete list of the stockholders entitled to vote at the meeting;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10 days ending on the day before the meeting date: (a) on a reasonably accessible electronic network,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information required to gain access to such list is provided with the notice of the meeting, or (b)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4" w:name="page45"/>
    <w:bookmarkEnd w:id="44"/>
    <w:p>
      <w:pPr>
        <w:ind w:left="760"/>
        <w:spacing w:after="0"/>
        <w:rPr>
          <w:sz w:val="20"/>
          <w:szCs w:val="20"/>
          <w:color w:val="auto"/>
        </w:rPr>
      </w:pPr>
      <w:r>
        <w:rPr>
          <w:rFonts w:ascii="Times New Roman" w:cs="Times New Roman" w:eastAsia="Times New Roman" w:hAnsi="Times New Roman"/>
          <w:sz w:val="20"/>
          <w:szCs w:val="20"/>
          <w:color w:val="auto"/>
        </w:rPr>
        <w:t>2.14 INSPECTORS OF ELECTION</w:t>
      </w:r>
    </w:p>
    <w:p>
      <w:pPr>
        <w:spacing w:after="0" w:line="216"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Before any meeting of stockholders, the Company shall appoint an inspector or inspectors of election to act at the meeting or its adjournment. The Company may designate one or more persons as alternate inspectors to replace any inspector who fails to act.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Such inspectors shall:</w:t>
      </w:r>
    </w:p>
    <w:p>
      <w:pPr>
        <w:spacing w:after="0" w:line="216" w:lineRule="exact"/>
        <w:rPr>
          <w:sz w:val="20"/>
          <w:szCs w:val="20"/>
          <w:color w:val="auto"/>
        </w:rPr>
      </w:pPr>
    </w:p>
    <w:p>
      <w:pPr>
        <w:ind w:left="1900" w:hanging="395"/>
        <w:spacing w:after="0"/>
        <w:tabs>
          <w:tab w:leader="none" w:pos="19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ascertain the number of shares outstanding and the voting power of each;</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shares represented at the meeting and the validity of proxies and ballots;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 all votes and ballots;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and retain for a reasonable period a record of the disposition of any challenges made to any determination</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inspectors; and</w:t>
      </w:r>
    </w:p>
    <w:p>
      <w:pPr>
        <w:spacing w:after="0" w:line="193"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certify their determination of the number of shares represented at the meeting, and their count of all votes and ballots.</w:t>
      </w:r>
    </w:p>
    <w:p>
      <w:pPr>
        <w:spacing w:after="0" w:line="22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is </w:t>
      </w:r>
      <w:r>
        <w:rPr>
          <w:rFonts w:ascii="Times New Roman" w:cs="Times New Roman" w:eastAsia="Times New Roman" w:hAnsi="Times New Roman"/>
          <w:sz w:val="20"/>
          <w:szCs w:val="20"/>
          <w:i w:val="1"/>
          <w:iCs w:val="1"/>
          <w:color w:val="auto"/>
        </w:rPr>
        <w:t>prima facie</w:t>
      </w:r>
      <w:r>
        <w:rPr>
          <w:rFonts w:ascii="Times New Roman" w:cs="Times New Roman" w:eastAsia="Times New Roman" w:hAnsi="Times New Roman"/>
          <w:sz w:val="20"/>
          <w:szCs w:val="20"/>
          <w:color w:val="auto"/>
        </w:rPr>
        <w:t xml:space="preserve"> evidence of the facts stated therein.</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 - DIRECTORS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3.1  POWERS</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The business and affairs of the Company shall be managed by or under the direction of the Board of Directors, except as may be otherwise provided in the DGCL or the certificate of incorporation.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3.2  NUMBER OF DIRECTORS</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Board of Directors shall consist of one or more members, each of whom shall be a natural person. Unless the certificate of incorporation fixes the number of directors, the number of directors shall be determined from time to time by resolution of a majority of the Whole Board. No reduction of the authorized number of directors shall have the effect of removing any director before that director’s term of office expires.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3.3  ELECTION, QUALIFICATION AND TERM OF OFFICE OF DIRECTORS</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Except as provided in Section 3.4 of these bylaws, each director, including a director elected to fill a vacancy or newly created directorship,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If so provided in the certificate of incorporation, the directors of the Company shall be divided into three classes.</w:t>
      </w:r>
    </w:p>
    <w:p>
      <w:pPr>
        <w:spacing w:after="0" w:line="2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5" w:name="page46"/>
    <w:bookmarkEnd w:id="45"/>
    <w:p>
      <w:pPr>
        <w:ind w:left="760"/>
        <w:spacing w:after="0"/>
        <w:rPr>
          <w:sz w:val="20"/>
          <w:szCs w:val="20"/>
          <w:color w:val="auto"/>
        </w:rPr>
      </w:pPr>
      <w:r>
        <w:rPr>
          <w:rFonts w:ascii="Times New Roman" w:cs="Times New Roman" w:eastAsia="Times New Roman" w:hAnsi="Times New Roman"/>
          <w:sz w:val="20"/>
          <w:szCs w:val="20"/>
          <w:color w:val="auto"/>
        </w:rPr>
        <w:t>3.4  RESIGNATION AND VACANCIES</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8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Unless otherwise provided in the certificate of incorporation or these bylaws or permitted in the specific case by resolution of the Board of Directors, and subject to the rights of holders of preferred stock of the Company,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and not by stockholders. If the directors are divided into classes, a person so chosen to fill a vacancy or newly created directorship shall hold office until the next election of the class for which such director shall have been chosen and until his or her successor shall have been duly elected and qualified.</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3.5  PLACE OF MEETINGS; MEETINGS BY TELEPHONE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Board of Directors may hold meetings, both regular and special, either within or outside the State of Delaware.</w:t>
      </w:r>
    </w:p>
    <w:p>
      <w:pPr>
        <w:spacing w:after="0" w:line="216"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19"/>
          <w:szCs w:val="19"/>
          <w:color w:val="auto"/>
        </w:rPr>
        <w:t>Unless otherwise restricted by the certificate of incorporation or these bylaws, members of the Board of Directors may participate in a meeting of the Board of Directors by means of conference telephone or other communications equipment by means of which all persons participating in the meeting can hear each other, and such participation in a meeting shall constitute presence in person at the meeting.</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3.6  REGULAR MEETINGS</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Regular meetings of the Board of Directors may be held without notice at such time and at such place as shall from time to time be determined by the Board of Directors.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3.7  SPECIAL MEETINGS; NOTICE</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Special meetings of the Board of Directors for any purpose or purposes may be called at any time by the chairperson of the Board of Directors, the chief executive officer, the president, or the secretary or by a majority of the Whole Board;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person(s) authorized to call a special meeting of the Board of Directors may authorize another person or persons to send notice of such meeting.</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Notice of the time and place of special meetings shall be:</w:t>
      </w:r>
    </w:p>
    <w:p>
      <w:pPr>
        <w:spacing w:after="0" w:line="216" w:lineRule="exact"/>
        <w:rPr>
          <w:sz w:val="20"/>
          <w:szCs w:val="20"/>
          <w:color w:val="auto"/>
        </w:rPr>
      </w:pPr>
    </w:p>
    <w:p>
      <w:pPr>
        <w:ind w:left="1900" w:hanging="395"/>
        <w:spacing w:after="0"/>
        <w:tabs>
          <w:tab w:leader="none" w:pos="19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delivered personally by hand, by courier or by telephone;</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sent by United States first-class mail, postage prepaid;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sent by facsimile;</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sent by electronic mail; or</w:t>
      </w:r>
    </w:p>
    <w:p>
      <w:pPr>
        <w:spacing w:after="0" w:line="21" w:lineRule="exact"/>
        <w:rPr>
          <w:rFonts w:ascii="Times New Roman" w:cs="Times New Roman" w:eastAsia="Times New Roman" w:hAnsi="Times New Roman"/>
          <w:sz w:val="20"/>
          <w:szCs w:val="20"/>
          <w:color w:val="auto"/>
        </w:rPr>
      </w:pPr>
    </w:p>
    <w:p>
      <w:pPr>
        <w:ind w:left="5520" w:hanging="110"/>
        <w:spacing w:after="0"/>
        <w:tabs>
          <w:tab w:leader="none" w:pos="552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6" w:name="page47"/>
    <w:bookmarkEnd w:id="46"/>
    <w:p>
      <w:pPr>
        <w:ind w:left="1500"/>
        <w:spacing w:after="0"/>
        <w:tabs>
          <w:tab w:leader="none" w:pos="1880" w:val="left"/>
        </w:tabs>
        <w:rPr>
          <w:sz w:val="20"/>
          <w:szCs w:val="20"/>
          <w:color w:val="auto"/>
        </w:rPr>
      </w:pPr>
      <w:r>
        <w:rPr>
          <w:rFonts w:ascii="Times New Roman" w:cs="Times New Roman" w:eastAsia="Times New Roman" w:hAnsi="Times New Roman"/>
          <w:sz w:val="20"/>
          <w:szCs w:val="20"/>
          <w:color w:val="auto"/>
        </w:rPr>
        <w:t>(e)</w:t>
      </w:r>
      <w:r>
        <w:rPr>
          <w:sz w:val="20"/>
          <w:szCs w:val="20"/>
          <w:color w:val="auto"/>
        </w:rPr>
        <w:tab/>
      </w:r>
      <w:r>
        <w:rPr>
          <w:rFonts w:ascii="Times New Roman" w:cs="Times New Roman" w:eastAsia="Times New Roman" w:hAnsi="Times New Roman"/>
          <w:sz w:val="19"/>
          <w:szCs w:val="19"/>
          <w:color w:val="auto"/>
        </w:rPr>
        <w:t>otherwise given by electronic transmission (as defined in Section 232 of the DGCL),</w:t>
      </w:r>
    </w:p>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directed to each director at that director’s address, telephone number, facsimile number, electronic mail address or other contact for notice by electronic transmission, as the case may be, as shown on the Company’s records.</w:t>
      </w:r>
    </w:p>
    <w:p>
      <w:pPr>
        <w:spacing w:after="0" w:line="15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If the notice is (i) delivered personally by hand, by courier or by telephone, (ii) sent by facsimile, (iii) sent by electronic mail or (iv) otherwise given by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of the time and place of the meeting may be communicated to the director in lieu of written notice if such notice is communicated at least 24 hours before the time of the holding of the meeting. The notice need not specify the place of the meeting (if the meeting is to be held at the Company’s principal executive office) nor the purpose of the meeting, unless required by statute.</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3.8  QUORUM; VOTING</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At all meetings of the Board of Directors, a majority of the Whole Board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affirmative vote of a majority of the directors present at any meeting at which a quorum is present shall be the act of the Board of Directors, except as may be otherwise specifically provided by statute, the certificate of incorporation or these bylaws.</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If the certificate of incorporation provides that one or more directors shall have more or less than one vote per director on any matter, except as may otherwise be expressly provided herein or therein and denoted with the phrase “notwithstanding the final paragraph of Section 3.8 of the bylaws” or language to similar effect, every reference in these bylaws to a majority or other proportion of the directors shall refer to a majority or other proportion of the votes of the directors.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3.9  BOARD ACTION BY WRITTEN CONSENT WITHOUT A MEETING</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Unless otherwise restricted by the certificate of incorporation or these bylaws, (i)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(ii) a consent may be documented, signed and delivered in any manner permitted by Section 116 of the DGCL.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the proceedings of the Board of Directors, or the committee thereof, in the same paper or electronic form as the minutes are maintained.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7" w:name="page48"/>
    <w:bookmarkEnd w:id="47"/>
    <w:p>
      <w:pPr>
        <w:ind w:left="760"/>
        <w:spacing w:after="0"/>
        <w:rPr>
          <w:sz w:val="20"/>
          <w:szCs w:val="20"/>
          <w:color w:val="auto"/>
        </w:rPr>
      </w:pPr>
      <w:r>
        <w:rPr>
          <w:rFonts w:ascii="Times New Roman" w:cs="Times New Roman" w:eastAsia="Times New Roman" w:hAnsi="Times New Roman"/>
          <w:sz w:val="20"/>
          <w:szCs w:val="20"/>
          <w:color w:val="auto"/>
        </w:rPr>
        <w:t>3.10 FEES AND COMPENSATION OF DIRECTORS</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Unless otherwise restricted by the certificate of incorporation or these bylaws, the Board of Directors shall have the authority to fix the compensation of directors.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3.11 REMOVAL OF DIRECTORS</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Any director or the entire Board of Directors may be removed from office by stockholders of the Company in the manner specified in the certificate of incorporation and applicable law. No reduction of the authorized number of directors shall have the effect of removing any director prior to the expiration of such director’s term of office.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 - COMMITTEES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4.1  COMMITTEES OF DIRECTORS</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The Board of Directors may, by resolution passed by a majority of the Whole Board, designate one or more committees, each committee to consist of one or more of the directors of the Company.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Company, and may authorize the seal of the Company to be affixed to all papers that may require it; but no such committee shall have the power or authority to (a) approve or adopt, or recommend to the stockholders, any action or matter (other than the election or removal of directors) expressly required by the DGCL to be submitted to stockholders for approval, or (b) adopt, amend or repeal any bylaw of the Company.</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4.2  COMMITTEE MINUTES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Each committee and subcommittee shall keep regular minutes of its meetings.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4.3  MEETINGS AND ACTION OF COMMITTEES</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Unless otherwise specified by the Board of Directors, meetings and actions of committees and subcommittees shall be governed by, and held and taken in accordance with, the provisions of:</w:t>
      </w:r>
    </w:p>
    <w:p>
      <w:pPr>
        <w:spacing w:after="0" w:line="159" w:lineRule="exact"/>
        <w:rPr>
          <w:sz w:val="20"/>
          <w:szCs w:val="20"/>
          <w:color w:val="auto"/>
        </w:rPr>
      </w:pPr>
    </w:p>
    <w:p>
      <w:pPr>
        <w:ind w:left="1900" w:hanging="395"/>
        <w:spacing w:after="0"/>
        <w:tabs>
          <w:tab w:leader="none" w:pos="19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3.5 (place of meetings and meetings by telephone);</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3.6 (regular meetings);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3.7 (special meetings and notice);</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3.8 (quorum; voting);</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3.9 (action without a meeting); and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7.4 (waiver of notice)</w:t>
      </w:r>
    </w:p>
    <w:p>
      <w:pPr>
        <w:spacing w:after="0" w:line="21" w:lineRule="exact"/>
        <w:rPr>
          <w:rFonts w:ascii="Times New Roman" w:cs="Times New Roman" w:eastAsia="Times New Roman" w:hAnsi="Times New Roman"/>
          <w:sz w:val="20"/>
          <w:szCs w:val="20"/>
          <w:color w:val="auto"/>
        </w:rPr>
      </w:pPr>
    </w:p>
    <w:p>
      <w:pPr>
        <w:ind w:left="5520" w:hanging="110"/>
        <w:spacing w:after="0"/>
        <w:tabs>
          <w:tab w:leader="none" w:pos="552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8" w:name="page49"/>
    <w:bookmarkEnd w:id="48"/>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with such changes in the context of those bylaws as are necessary to substitute the committee or subcommittee and its members for the Board of Directors and its members.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(i) the time and place of regular meetings of committees or subcommittees may be determined either by resolution of the Board of Directors or by resolution of the committee or subcommittee; (ii) special meetings of committees or subcommittees may also be called by resolution of the Board of Directors or the committee or the subcommittee; and (iii) notice of special meetings of committees and subcommittees shall also be given to all alternate members who shall have the right to attend all meetings of the committee or subcommittee. The Board of Directors or a committee or subcommittee may also adopt other rules for the government of any committee or subcommittee.</w:t>
      </w:r>
    </w:p>
    <w:p>
      <w:pPr>
        <w:spacing w:after="0" w:line="18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4.4  SUBCOMMITTEES</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 - OFFICERS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5.1  OFFICERS</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officers of the Company shall be a president and a secretary. The Company may also have, at the discretion of the Board of Directors,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5.2  APPOINTMENT OF OFFICERS</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Board of Directors shall appoint the officers of the Company, except such officers as may be appointed in accordance with the provisions of Section 5.3 of these bylaws, subject to the rights, if any, of an officer under any contract of employment.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5.3  SUBORDINATE OFFICERS</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Board of Directors may appoint, or empower any officer to appoint, such other officers as the business of the Company may require. Each of such officers shall hold office for such period, have such authority, and perform such duties as are provided in these bylaws or as determined from time to time by the Board of Directors or, for the avoidance of doubt, any duly authorized committee or subcommittee thereof or by any officer who has been conferred such power of determination.</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5.4  REMOVAL AND RESIGNATION OF OFFICERS</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Subject to the rights, if any, of an officer under any contract of employment, any officer may be removed, either with or without cause, by the Board of Directors or, for the avoidance of doubt, any duly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color w:val="auto"/>
        </w:rPr>
        <w:t>authorized committee or subcommittee thereof or by any officer who has been conferred such power of removal.</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Any officer may resign at any time by giving notice, in writing or by electronic transmission,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5.5  VACANCIES IN OFFICES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Any vacancy occurring in any office of the Company shall be filled by the Board of Directors or as provided in Section 5.3.</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5.6  REPRESENTATION OF SECURITIES OF OTHER ENTITIES</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The chairperson of the Board of Directors, the chief executive officer, the president, any vice president, the treasurer, the secretary or assistant secretary of the Company or any other person authorized by the Board of Directors or the chief executive officer, the president or a vice president, is authorized to vote, represent and exercise on behalf of the Company all rights incident to any and all shares or other securities of, or interests in, or issued by, any other entity or entities, and all rights incident to any management authority conferred on the Company in accordance with the governing documents of any entity or entities, standing in the name of the Company, including the right to act by written consent. The authority granted herein may be exercised either by such person directly or by any other person authorized to do so by proxy or power of attorney duly executed by such person having the authority.</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5.7  AUTHORITY AND DUTIES OF OFFICERS</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Each officer of the Company shall have such authority and perform such duties in the management of the business of the Company as may be designated from time to time by the Board of Directors or, for the avoidance of doubt, any duly authorized committee or subcommittee thereof or by any officer who has been conferred such power of designation and, to the extent not so provided, as generally pertain to such office, subject to the control of the Board of Directors.</w:t>
      </w:r>
    </w:p>
    <w:p>
      <w:pPr>
        <w:spacing w:after="0" w:line="39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b w:val="1"/>
          <w:bCs w:val="1"/>
          <w:color w:val="auto"/>
        </w:rPr>
        <w:t>ARTICLE VI - STOCK</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6.1  STOCK CERTIFICATES; PARTLY PAID SHARES</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The shares of the Company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Company. Unless otherwise provided by resolution of the Board of Directors, every holder of stock represented by certificates shall be entitled to have a certificate signed by, or in the name of, the Company by any two officers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jc w:val="center"/>
        <w:spacing w:after="0"/>
        <w:rPr>
          <w:sz w:val="20"/>
          <w:szCs w:val="20"/>
          <w:color w:val="auto"/>
        </w:rPr>
      </w:pPr>
      <w:r>
        <w:rPr>
          <w:rFonts w:ascii="Times New Roman" w:cs="Times New Roman" w:eastAsia="Times New Roman" w:hAnsi="Times New Roman"/>
          <w:sz w:val="20"/>
          <w:szCs w:val="20"/>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0" w:name="page51"/>
    <w:bookmarkEnd w:id="50"/>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Company may issue the whole or any part of its shares as partly paid and subject to call for the remainder of the consideration to be paid therefor. Upon the face or back of each stock certificate issued to represent any such partly-paid shares, or upon the books and records of the Company in the case of uncertificated partly-paid shares, the total amount of the consideration to be paid therefor and the amount paid thereon shall be stated. Upon the declaration of any dividend on fully-paid shares, the Company shall declare a dividend upon partly-paid shares of the same class, but only upon the basis of the percentage of the consideration actually paid thereon.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6.2  SPECIAL DESIGNATION ON CERTIFICATES</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If the Company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6.2 or Sections 151, 156, 202(a), 218(a) or 364 of the DGCL or with respect to this Section 6.2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6.3  LOST CERTIFICATES</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Except as provided in this Section 6.3,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6.4  DIVIDENDS</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The Board of Directors, subject to any restrictions contained in the certificate of incorporation or applicable law, may declare and pay dividends upon the shares of the Company’s capital stock. Dividends may be paid in cash, in property, or in shares of the Company’s capital stock, subject to the provisions of the certificate of incorporation. The Board of Directors may set apart out of any of the funds of the Company available for dividends a reserve or reserves for any proper purpose and may abolish any such reserve.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1" w:name="page52"/>
    <w:bookmarkEnd w:id="51"/>
    <w:p>
      <w:pPr>
        <w:ind w:left="760"/>
        <w:spacing w:after="0"/>
        <w:rPr>
          <w:sz w:val="20"/>
          <w:szCs w:val="20"/>
          <w:color w:val="auto"/>
        </w:rPr>
      </w:pPr>
      <w:r>
        <w:rPr>
          <w:rFonts w:ascii="Times New Roman" w:cs="Times New Roman" w:eastAsia="Times New Roman" w:hAnsi="Times New Roman"/>
          <w:sz w:val="20"/>
          <w:szCs w:val="20"/>
          <w:color w:val="auto"/>
        </w:rPr>
        <w:t>6.5  TRANSFER OF STOCK</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Transfers of record of shares of stock of the Company shall be made only upon its books by the holders thereof, in person or by an attorney duly authorized, and, subject to Section 6.3 of these bylaws, if such stock is certificated, upon the surrender of a certificate or certificates for a like number of shares, properly endorsed or accompanied by proper evidence of succession, assignation or authority to transfer.</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6.6  STOCK TRANSFER AGREEMENTS</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Company shall have power to enter into and perform any agreement with any number of stockholders of any one or more classes or series of stock of the Company to restrict the transfer of shares of stock of the Company of any one or more classes or series owned by such stockholders in any manner not prohibited by the DGCL.</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6.7  REGISTERED STOCKHOLDERS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Company:</w:t>
      </w:r>
    </w:p>
    <w:p>
      <w:pPr>
        <w:spacing w:after="0" w:line="216" w:lineRule="exact"/>
        <w:rPr>
          <w:sz w:val="20"/>
          <w:szCs w:val="20"/>
          <w:color w:val="auto"/>
        </w:rPr>
      </w:pPr>
    </w:p>
    <w:p>
      <w:pPr>
        <w:ind w:right="20" w:firstLine="1505"/>
        <w:spacing w:after="0" w:line="269" w:lineRule="auto"/>
        <w:tabs>
          <w:tab w:leader="none" w:pos="1893"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be entitled to recognize the exclusive right of a person registered on its books as the owner of shares to receive dividends and notices and to vote as such owner; and</w:t>
      </w:r>
    </w:p>
    <w:p>
      <w:pPr>
        <w:spacing w:after="0" w:line="159"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37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0"/>
          <w:szCs w:val="20"/>
          <w:b w:val="1"/>
          <w:bCs w:val="1"/>
          <w:color w:val="auto"/>
        </w:rPr>
        <w:t>ARTICLE VII - MANNER OF GIVING NOTICE AND WAIVER</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7.1  NOTICE OF STOCKHOLDERS’ MEETINGS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Notice of any meeting of stockholders shall be given in the manner set forth in the DGCL.</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7.2  NOTICE TO STOCKHOLDERS SHARING AN ADDRESS</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Company. Any stockholder who fails to object in writing to the Company, within 60 days of having been given written notice by the Company of its intention to send the single notice, shall be deemed to have consented to receiving such single written notice. This Section 7.2 shall not apply to Sections 164, 296, 311, 312 or 324 of the DGCL.</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7.3  NOTICE TO PERSON WITH WHOM COMMUNICATION IS UNLAWFUL</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2" w:name="page53"/>
    <w:bookmarkEnd w:id="52"/>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7.4  WAIVER OF NOTICE</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VIII - INDEMNIFICATION</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8.1  INDEMNIFICATION OF DIRECTORS AND OFFICERS IN THIRD PARTY PROCEEDINGS</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Subject to the other provisions of this Article VIII, the Company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20"/>
          <w:szCs w:val="20"/>
          <w:b w:val="1"/>
          <w:bCs w:val="1"/>
          <w:color w:val="auto"/>
        </w:rPr>
        <w:t>Proceeding</w:t>
      </w:r>
      <w:r>
        <w:rPr>
          <w:rFonts w:ascii="Times New Roman" w:cs="Times New Roman" w:eastAsia="Times New Roman" w:hAnsi="Times New Roman"/>
          <w:sz w:val="20"/>
          <w:szCs w:val="20"/>
          <w:color w:val="auto"/>
        </w:rPr>
        <w:t xml:space="preserve">”)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Proceeding by judgment, order, settlement, conviction, or upon a plea of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xml:space="preserv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8.2  INDEMNIFICATION OF DIRECTORS AND OFFICERS IN ACTIONS BY OR IN THE RIGHT OF THE COMPANY</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Subject to the other provisions of this Article VIII, the Company shall indemnify, to the fullest extent permitted by the DGCL, as now or hereinafter in effect, any person who was or is a party or is threatened to be made a party to any threatened, pending or completed Proceeding by or in the right of the Company to procure a judgment in its favor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actually and reasonably incurred by such person in connection with the defense or settlement of such Proceeding if such person acted in good faith</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3" w:name="page54"/>
    <w:bookmarkEnd w:id="53"/>
    <w:p>
      <w:pPr>
        <w:jc w:val="both"/>
        <w:spacing w:after="0" w:line="246" w:lineRule="auto"/>
        <w:rPr>
          <w:sz w:val="20"/>
          <w:szCs w:val="20"/>
          <w:color w:val="auto"/>
        </w:rPr>
      </w:pPr>
      <w:r>
        <w:rPr>
          <w:rFonts w:ascii="Times New Roman" w:cs="Times New Roman" w:eastAsia="Times New Roman" w:hAnsi="Times New Roman"/>
          <w:sz w:val="20"/>
          <w:szCs w:val="20"/>
          <w:color w:val="auto"/>
        </w:rPr>
        <w:t>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8.3  SUCCESSFUL DEFENSE</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To the extent that a present or former director or officer (for purposes of this Section 8.3 only, as such term is defined in Section 145(c)(1) of the DGCL) of the Company has been successful on the merits or otherwise in defense of any Proceeding described in Section 8.1 or Section 8.2, or in defense of any claim, issue or matter therein, such person shall be indemnified against expenses (including attorneys’ fees) actually and reasonably incurred by such person in connection therewith. The Company may indemnify any other person who is not a present or former director or officer of the Company against expenses (including attorneys’ fees) actually and reasonably incurred by such person to the extent he or she has been successful on the merits or otherwise in defense of any Proceeding described in Section 8.1 or Section 8.2, or in defense of any claim, issue or matter therein.</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8.4  INDEMNIFICATION OF OTHERS</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Subject to the other provisions of this Article VIII, the Company shall have power to indemnify its employees and agents, or any other persons, to the extent not prohibited by the DGCL or other applicable law. The Board of Directors shall have the power to delegate to any person or persons identified in subsections (1) through (4) of Section 145(d) of the DGCL the determination of whether employees or agents shall be indemnified.</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8.5  ADVANCED PAYMENT OF EXPENSES</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Expenses (including attorneys’ fees) actually and reasonably incurred by an officer or director of the Company in defending any Proceeding shall be paid by the Company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actually and reasonably incurred by former directors and officers or other employees and agents of the Company or by persons serving at the request of the Company as directors, officers, employees or agents of another corporation, partnership, joint venture, trust or other enterprise may be so paid upon such terms and conditions, if any, as the Company deems appropriate. The right to advancement of expenses shall not apply to any Proceeding (or any part of any Proceeding) for which indemnity is excluded pursuant to these bylaws, but shall apply to any Proceeding (or any part of any Proceeding) referenced in Section 8.6(b) or 8.6(c) prior to a determination that the person is not entitled to be indemnified by the Company.</w:t>
      </w:r>
    </w:p>
    <w:p>
      <w:pPr>
        <w:spacing w:after="0" w:line="19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Notwithstanding the foregoing, unless otherwise determined pursuant to Section 8.8, no advance shall be made by the Company to an officer of the Company (except by reason of the fact that such officer is or was a director of the Company, in which event this paragraph shall not apply) in any Proceeding if a determination is reasonably and promptly made (a) by a vote of the directors who are not parties to such Proceeding, even though less than a quorum, or (b) by a committee of such directors designated by the vote of the majority of such directors, even though less than a quorum, or (c) if there are no such directors, or if such directors so direct, by independent legal counsel in a written opinion, that facts known to the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4" w:name="page55"/>
    <w:bookmarkEnd w:id="54"/>
    <w:p>
      <w:pPr>
        <w:spacing w:after="0" w:line="269" w:lineRule="auto"/>
        <w:rPr>
          <w:sz w:val="20"/>
          <w:szCs w:val="20"/>
          <w:color w:val="auto"/>
        </w:rPr>
      </w:pPr>
      <w:r>
        <w:rPr>
          <w:rFonts w:ascii="Times New Roman" w:cs="Times New Roman" w:eastAsia="Times New Roman" w:hAnsi="Times New Roman"/>
          <w:sz w:val="20"/>
          <w:szCs w:val="20"/>
          <w:color w:val="auto"/>
        </w:rPr>
        <w:t>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8.6  LIMITATION ON INDEMNIFICATION</w:t>
      </w:r>
    </w:p>
    <w:p>
      <w:pPr>
        <w:spacing w:after="0" w:line="21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Subject to the requirements in Section 8.3 and the DGCL, the Company shall not be obligated to indemnify any person pursuant to this Article VIII in connection with any Proceeding (or any part of any Proceeding):</w:t>
      </w:r>
    </w:p>
    <w:p>
      <w:pPr>
        <w:spacing w:after="0" w:line="159" w:lineRule="exact"/>
        <w:rPr>
          <w:sz w:val="20"/>
          <w:szCs w:val="20"/>
          <w:color w:val="auto"/>
        </w:rPr>
      </w:pPr>
    </w:p>
    <w:p>
      <w:pPr>
        <w:ind w:right="40" w:firstLine="1505"/>
        <w:spacing w:after="0" w:line="269" w:lineRule="auto"/>
        <w:tabs>
          <w:tab w:leader="none" w:pos="1893"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which payment has actually been made to or on behalf of such person under any statute, insurance policy, indemnity provision, vote or otherwise, except with respect to any excess beyond the amount paid;</w:t>
      </w:r>
    </w:p>
    <w:p>
      <w:pPr>
        <w:spacing w:after="0" w:line="159" w:lineRule="exact"/>
        <w:rPr>
          <w:rFonts w:ascii="Times New Roman" w:cs="Times New Roman" w:eastAsia="Times New Roman" w:hAnsi="Times New Roman"/>
          <w:sz w:val="20"/>
          <w:szCs w:val="20"/>
          <w:color w:val="auto"/>
        </w:rPr>
      </w:pPr>
    </w:p>
    <w:p>
      <w:pPr>
        <w:jc w:val="both"/>
        <w:ind w:right="40" w:firstLine="1505"/>
        <w:spacing w:after="0" w:line="295" w:lineRule="auto"/>
        <w:tabs>
          <w:tab w:leader="none" w:pos="1893"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137" w:lineRule="exact"/>
        <w:rPr>
          <w:rFonts w:ascii="Times New Roman" w:cs="Times New Roman" w:eastAsia="Times New Roman" w:hAnsi="Times New Roman"/>
          <w:sz w:val="19"/>
          <w:szCs w:val="19"/>
          <w:color w:val="auto"/>
        </w:rPr>
      </w:pPr>
    </w:p>
    <w:p>
      <w:pPr>
        <w:jc w:val="both"/>
        <w:ind w:firstLine="1505"/>
        <w:spacing w:after="0" w:line="245" w:lineRule="auto"/>
        <w:tabs>
          <w:tab w:leader="none" w:pos="1893"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reimbursement of the Company by such person of any bonus or other incentive-based or equity-based compensation or of any profits realized by such person from the sale of securities of the Company, as required in each case under the 1934 Act (including any such reimbursements that arise from an accounting restatement of the Company pursuant to Section 304 of the Sarbanes-Oxley Act of 2002 (the “</w:t>
      </w:r>
      <w:r>
        <w:rPr>
          <w:rFonts w:ascii="Times New Roman" w:cs="Times New Roman" w:eastAsia="Times New Roman" w:hAnsi="Times New Roman"/>
          <w:sz w:val="20"/>
          <w:szCs w:val="20"/>
          <w:b w:val="1"/>
          <w:bCs w:val="1"/>
          <w:color w:val="auto"/>
        </w:rPr>
        <w:t>Sarbanes-Oxley Act</w:t>
      </w:r>
      <w:r>
        <w:rPr>
          <w:rFonts w:ascii="Times New Roman" w:cs="Times New Roman" w:eastAsia="Times New Roman" w:hAnsi="Times New Roman"/>
          <w:sz w:val="20"/>
          <w:szCs w:val="20"/>
          <w:color w:val="auto"/>
        </w:rPr>
        <w:t>”), or the payment to the Company of profits arising from the purchase and sale by such person of securities in violation of Section 306 of the Sarbanes-Oxley Act), if such person is held liable therefor (including pursuant to any settlement arrangements);</w:t>
      </w:r>
    </w:p>
    <w:p>
      <w:pPr>
        <w:spacing w:after="0" w:line="184"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initiated by such person, including any Proceeding (or any part of any Proceeding) initiated by such person against the Company or its directors, officers, employees, agents or other indemnitees, unless (i) the Board of Directors authorized the Proceeding (or the relevant part of the Proceeding) prior to its initiation, (ii) the Company provides the indemnification, in its sole discretion, pursuant to the powers vested in the Company under applicable law, (iii) otherwise required to be made under Section 8.7 or (iv) otherwise required by applicable law; or</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prohibited by applicable law.</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8.7  DETERMINATION; CLAIM</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If a claim for indemnification or advancement of expenses under this Article VIII is not paid in full within 90 days after receipt by the Company of the written request therefor, the claimant shall be entitled to an adjudication by a court of competent jurisdiction of his or her entitlement to such indemnification or advancement of expenses. The Company shall indemnify such person against any and all expenses that are actually and reasonably incurred by such person in connection with any action for indemnification or advancement of expenses from the Company under this Article VIII, to the extent such person is successful in such action, and to the extent not prohibited by law. In any such suit, the Company shall, to the fullest extent not prohibited by law, have the burden of proving that the claimant is not entitled to the requested indemnification or advancement of expenses.</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8.8  NON-EXCLUSIVITY OF RIGHTS</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The indemnification and advancement of expenses provided by, or granted pursuant to, this Article VIII shall not be deemed exclusive of any other rights to which those seeking indemnification or</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5" w:name="page56"/>
    <w:bookmarkEnd w:id="55"/>
    <w:p>
      <w:pPr>
        <w:jc w:val="both"/>
        <w:spacing w:after="0" w:line="249" w:lineRule="auto"/>
        <w:rPr>
          <w:sz w:val="20"/>
          <w:szCs w:val="20"/>
          <w:color w:val="auto"/>
        </w:rPr>
      </w:pPr>
      <w:r>
        <w:rPr>
          <w:rFonts w:ascii="Times New Roman" w:cs="Times New Roman" w:eastAsia="Times New Roman" w:hAnsi="Times New Roman"/>
          <w:sz w:val="20"/>
          <w:szCs w:val="20"/>
          <w:color w:val="auto"/>
        </w:rPr>
        <w:t>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Company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8.9  INSURANCE</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8.10 SURVIVAL</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8.11 EFFECT OF REPEAL OR MODIFICATION</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A right to indemnification or to advancement of expenses arising under a provision of the certificate of incorporation or a bylaw shall not be eliminated or impaired by an amendment to or repeal or elimination of the certificate of incorporation or these bylaws after the occurrence of the act or omission that is the subject of the Proceeding for which indemnification or advancement of expenses is sought, unless the provision in effect at the time of such act or omission explicitly authorizes such elimination or impairment after such action or omission has occurred.</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8.12 CERTAIN DEFINITIONS</w:t>
      </w:r>
    </w:p>
    <w:p>
      <w:pPr>
        <w:spacing w:after="0" w:line="21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For purposes of this Article VIII, references to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shall include, in addition to the resulting entity, any constituent entity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entity, or is or was serving at the request of such constituent entity as a director, officer, employee or agent of another corporation, partnership, joint venture, trust or other enterprise, shall stand in the same position under the provisions of this Article VIII with respect to the resulting or surviving entity as such person would have with respect to such constituent entity if its separate existence had continued. For purposes of this Article VIII, references to “</w:t>
      </w:r>
      <w:r>
        <w:rPr>
          <w:rFonts w:ascii="Times New Roman" w:cs="Times New Roman" w:eastAsia="Times New Roman" w:hAnsi="Times New Roman"/>
          <w:sz w:val="20"/>
          <w:szCs w:val="20"/>
          <w:b w:val="1"/>
          <w:bCs w:val="1"/>
          <w:color w:val="auto"/>
        </w:rPr>
        <w:t>other enterprises</w:t>
      </w:r>
      <w:r>
        <w:rPr>
          <w:rFonts w:ascii="Times New Roman" w:cs="Times New Roman" w:eastAsia="Times New Roman" w:hAnsi="Times New Roman"/>
          <w:sz w:val="20"/>
          <w:szCs w:val="20"/>
          <w:color w:val="auto"/>
        </w:rPr>
        <w:t>” shall include employee benefit plans; references to “</w:t>
      </w:r>
      <w:r>
        <w:rPr>
          <w:rFonts w:ascii="Times New Roman" w:cs="Times New Roman" w:eastAsia="Times New Roman" w:hAnsi="Times New Roman"/>
          <w:sz w:val="20"/>
          <w:szCs w:val="20"/>
          <w:b w:val="1"/>
          <w:bCs w:val="1"/>
          <w:color w:val="auto"/>
        </w:rPr>
        <w:t>fines</w:t>
      </w:r>
      <w:r>
        <w:rPr>
          <w:rFonts w:ascii="Times New Roman" w:cs="Times New Roman" w:eastAsia="Times New Roman" w:hAnsi="Times New Roman"/>
          <w:sz w:val="20"/>
          <w:szCs w:val="20"/>
          <w:color w:val="auto"/>
        </w:rPr>
        <w:t>” shall include any excise taxes assessed on a person with respect to an employee benefit plan; and references to “</w:t>
      </w:r>
      <w:r>
        <w:rPr>
          <w:rFonts w:ascii="Times New Roman" w:cs="Times New Roman" w:eastAsia="Times New Roman" w:hAnsi="Times New Roman"/>
          <w:sz w:val="20"/>
          <w:szCs w:val="20"/>
          <w:b w:val="1"/>
          <w:bCs w:val="1"/>
          <w:color w:val="auto"/>
        </w:rPr>
        <w:t>serving at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request of the Company</w:t>
      </w:r>
      <w:r>
        <w:rPr>
          <w:rFonts w:ascii="Times New Roman" w:cs="Times New Roman" w:eastAsia="Times New Roman" w:hAnsi="Times New Roman"/>
          <w:sz w:val="20"/>
          <w:szCs w:val="20"/>
          <w:color w:val="auto"/>
        </w:rPr>
        <w:t>” shall include any service as a director, officer, employee or agent of the Company which imposes duties on,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Times New Roman" w:cs="Times New Roman" w:eastAsia="Times New Roman" w:hAnsi="Times New Roman"/>
          <w:sz w:val="20"/>
          <w:szCs w:val="20"/>
          <w:b w:val="1"/>
          <w:bCs w:val="1"/>
          <w:color w:val="auto"/>
        </w:rPr>
        <w:t>not opposed to the best interests of the Company</w:t>
      </w:r>
      <w:r>
        <w:rPr>
          <w:rFonts w:ascii="Times New Roman" w:cs="Times New Roman" w:eastAsia="Times New Roman" w:hAnsi="Times New Roman"/>
          <w:sz w:val="20"/>
          <w:szCs w:val="20"/>
          <w:color w:val="auto"/>
        </w:rPr>
        <w:t>” as referred to in this Article VIII.</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6" w:name="page57"/>
    <w:bookmarkEnd w:id="56"/>
    <w:p>
      <w:pPr>
        <w:ind w:left="3960"/>
        <w:spacing w:after="0"/>
        <w:rPr>
          <w:sz w:val="20"/>
          <w:szCs w:val="20"/>
          <w:color w:val="auto"/>
        </w:rPr>
      </w:pPr>
      <w:r>
        <w:rPr>
          <w:rFonts w:ascii="Times New Roman" w:cs="Times New Roman" w:eastAsia="Times New Roman" w:hAnsi="Times New Roman"/>
          <w:sz w:val="20"/>
          <w:szCs w:val="20"/>
          <w:b w:val="1"/>
          <w:bCs w:val="1"/>
          <w:color w:val="auto"/>
        </w:rPr>
        <w:t>ARTICLE IX - GENERAL MATTERS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9.1  EXECUTION OF CORPORATE CONTRACTS AND INSTRUMENTS</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Except as otherwise provided by law, the certificate of incorporation or these bylaws, the Board of Directors may authorize any officer or officers, or agent or agents, or employee or employees, to enter into any contract or execute any document or instrument in the name of and on behalf of the Company; such authority may be general or confined to specific instances. Unless so authorized or ratified by the Board of Directors or within the agency power of an officer, agent or employee, no officer, agent or employee shall have any power or authority to bind the Company by any contract or engagement or to pledge its credit or to render it liable for any purpose or for any amount.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9.2  FISCAL YEAR</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fiscal year of the Company shall be fixed by resolution of the Board of Directors and may be changed by the Board of Directors.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9.3  SEAL</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Company may adopt a corporate seal, which shall be adopted and which may be altered by the Board of Directors. The Company may use the corporate seal by causing it or a facsimile thereof to be impressed or affixed or in any other manner reproduced.</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9.4  CONSTRUCTION; DEFINITIONS</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includes a corporation, partnership, limited liability company, joint venture, trust or other enterprise, and a natural person. Any reference in these bylaws to a section of the DGCL shall be deemed to refer to such section as amended from time to time and any successor provisions thereto.</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9.5  FORUM SELECTION</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Unless the Company consents in writing to the selection of an alternative forum, the Court of Chancery of the State of Delaware (or, if the Court of Chancery does not have jurisdiction, another State court in Delaware or the federal district court for the District of Delaware) shall, to the fullest extent permitted by law, be the sole and exclusive forum for (a) any derivative action or proceeding brought on behalf of the Company, (b) any action asserting a claim of breach of a fiduciary duty owed by any director, stockholder, officer or other employee of the Company to the Company or the Company’s stockholders, (c) any action arising pursuant to any provision of the DGCL or the certificate of incorporation or these bylaws (as either may be amended from time to time) or (d) any action asserting a claim governed by the internal affairs doctrine, except for, as to each of (a) through (d)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19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Unless the Company consents in writing to the selection of an alternative forum, the federal district courts of the United States of America shall be the sole and exclusive forum for the resolution of any complaint asserting a cause of action arising under the Securities Act of 1933, as amended, against any</w:t>
      </w:r>
    </w:p>
    <w:p>
      <w:pPr>
        <w:jc w:val="center"/>
        <w:spacing w:after="0"/>
        <w:rPr>
          <w:sz w:val="20"/>
          <w:szCs w:val="20"/>
          <w:color w:val="auto"/>
        </w:rPr>
      </w:pPr>
      <w:r>
        <w:rPr>
          <w:rFonts w:ascii="Times New Roman" w:cs="Times New Roman" w:eastAsia="Times New Roman" w:hAnsi="Times New Roman"/>
          <w:sz w:val="20"/>
          <w:szCs w:val="20"/>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57" w:name="page58"/>
    <w:bookmarkEnd w:id="57"/>
    <w:p>
      <w:pPr>
        <w:jc w:val="both"/>
        <w:spacing w:after="0" w:line="269" w:lineRule="auto"/>
        <w:rPr>
          <w:sz w:val="20"/>
          <w:szCs w:val="20"/>
          <w:color w:val="auto"/>
        </w:rPr>
      </w:pPr>
      <w:r>
        <w:rPr>
          <w:rFonts w:ascii="Times New Roman" w:cs="Times New Roman" w:eastAsia="Times New Roman" w:hAnsi="Times New Roman"/>
          <w:sz w:val="20"/>
          <w:szCs w:val="20"/>
          <w:color w:val="auto"/>
        </w:rPr>
        <w:t>person in connection with any offering of the Company’s securities, including, without limitation and for the avoidance of doubt, any auditor, underwriter, expert, control person or other defendant.</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Any person or entity purchasing, holding or otherwise acquiring any interest in any security of the Company shall be deemed to have notice of and consented to the provisions of this Section 9.5. This provision shall be enforceable by any party to a complaint covered by the provisions of this Section 9.5. For the avoidance of doubt, nothing contained in this Section 9.5 shall apply to any claim brought to enforce a duty or liability created by the 1934 Act or any successor thereto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 - AMENDMENTS</w:t>
      </w:r>
    </w:p>
    <w:p>
      <w:pPr>
        <w:spacing w:after="0" w:line="22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These bylaws may be adopted, amended or repealed by the stockholders entitled to vote; provided, however, that the affirmative vote of the holders of at least 66 2/3% of the total voting power of outstanding voting securities, voting together as a single class, shall be required for the stockholders of the Company to alter, amend or repeal, or adopt any bylaw inconsistent with, the following provisions of these bylaws: Article II, Sections 3.1, 3.2, 3.4 and 3.11 of Article III, Article VIII or this Article X (including, without limitation, any such Article or Section as renumbered as a result of any amendment, alteration, change, repeal, or adoption of any other bylaw). The Board of Directors shall also have the power to adopt, amend or repeal bylaws; provided, however, that a bylaw amendment adopted by stockholders which specifies the votes that shall be necessary for the election of directors shall not be further amended or repealed by the Board of Directors.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 Mack, certify that:</w:t>
      </w:r>
    </w:p>
    <w:p>
      <w:pPr>
        <w:spacing w:after="0" w:line="225" w:lineRule="exact"/>
        <w:rPr>
          <w:sz w:val="20"/>
          <w:szCs w:val="20"/>
          <w:color w:val="auto"/>
        </w:rPr>
      </w:pPr>
    </w:p>
    <w:p>
      <w:pPr>
        <w:ind w:left="520" w:hanging="512"/>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2023, of PMV Pharmaceuticals,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020" w:val="left"/>
          <w:tab w:leader="none" w:pos="8160" w:val="left"/>
        </w:tabs>
        <w:rPr>
          <w:sz w:val="20"/>
          <w:szCs w:val="20"/>
          <w:color w:val="auto"/>
        </w:rPr>
      </w:pPr>
      <w:r>
        <w:rPr>
          <w:rFonts w:ascii="Times New Roman" w:cs="Times New Roman" w:eastAsia="Times New Roman" w:hAnsi="Times New Roman"/>
          <w:sz w:val="18"/>
          <w:szCs w:val="18"/>
          <w:color w:val="auto"/>
        </w:rPr>
        <w:t>Date: May 10,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26035</wp:posOffset>
            </wp:positionV>
            <wp:extent cx="303466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2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David H. Mack, Ph.D.</w:t>
      </w:r>
    </w:p>
    <w:p>
      <w:pPr>
        <w:spacing w:after="0" w:line="2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President, Chief Executive Officer,</w:t>
      </w:r>
    </w:p>
    <w:p>
      <w:pPr>
        <w:spacing w:after="0" w:line="23"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8"/>
          <w:szCs w:val="18"/>
          <w:b w:val="1"/>
          <w:bCs w:val="1"/>
          <w:color w:val="auto"/>
        </w:rPr>
        <w:t>and Director</w:t>
      </w:r>
    </w:p>
    <w:p>
      <w:pPr>
        <w:spacing w:after="0" w:line="9"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556260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Winston Kung, certify that:</w:t>
      </w:r>
    </w:p>
    <w:p>
      <w:pPr>
        <w:spacing w:after="0" w:line="225"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2023, of PMV Pharmaceuticals,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020" w:val="left"/>
          <w:tab w:leader="none" w:pos="8200" w:val="left"/>
        </w:tabs>
        <w:rPr>
          <w:sz w:val="20"/>
          <w:szCs w:val="20"/>
          <w:color w:val="auto"/>
        </w:rPr>
      </w:pPr>
      <w:r>
        <w:rPr>
          <w:rFonts w:ascii="Times New Roman" w:cs="Times New Roman" w:eastAsia="Times New Roman" w:hAnsi="Times New Roman"/>
          <w:sz w:val="18"/>
          <w:szCs w:val="18"/>
          <w:color w:val="auto"/>
        </w:rPr>
        <w:t>Date: May 10,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26035</wp:posOffset>
            </wp:positionV>
            <wp:extent cx="303466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21"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Winston Kung</w:t>
      </w:r>
    </w:p>
    <w:p>
      <w:pPr>
        <w:spacing w:after="0" w:line="2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b w:val="1"/>
          <w:bCs w:val="1"/>
          <w:color w:val="auto"/>
        </w:rPr>
        <w:t>Chief Operating Officer</w:t>
      </w:r>
    </w:p>
    <w:p>
      <w:pPr>
        <w:spacing w:after="0" w:line="23"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and Chief Financial Officer</w:t>
      </w:r>
    </w:p>
    <w:p>
      <w:pPr>
        <w:spacing w:after="0" w:line="9"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556260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March 31, 2023, of PMV Pharmaceuticals, Inc. (the “Company”)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p>
      <w:pPr>
        <w:ind w:left="20"/>
        <w:spacing w:after="0"/>
        <w:tabs>
          <w:tab w:leader="none" w:pos="5680" w:val="left"/>
          <w:tab w:leader="none" w:pos="8000" w:val="left"/>
        </w:tabs>
        <w:rPr>
          <w:sz w:val="20"/>
          <w:szCs w:val="20"/>
          <w:color w:val="auto"/>
        </w:rPr>
      </w:pPr>
      <w:r>
        <w:rPr>
          <w:rFonts w:ascii="Times New Roman" w:cs="Times New Roman" w:eastAsia="Times New Roman" w:hAnsi="Times New Roman"/>
          <w:sz w:val="18"/>
          <w:szCs w:val="18"/>
          <w:color w:val="auto"/>
        </w:rPr>
        <w:t>Date: May 10,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1"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David H. Mack, Ph.D.</w:t>
      </w:r>
    </w:p>
    <w:p>
      <w:pPr>
        <w:spacing w:after="0" w:line="2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March 31, 2023, of PMV Pharmaceuticals, Inc. (the “Company”)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p>
      <w:pPr>
        <w:ind w:left="20"/>
        <w:spacing w:after="0"/>
        <w:tabs>
          <w:tab w:leader="none" w:pos="5680" w:val="left"/>
          <w:tab w:leader="none" w:pos="8040" w:val="left"/>
        </w:tabs>
        <w:rPr>
          <w:sz w:val="20"/>
          <w:szCs w:val="20"/>
          <w:color w:val="auto"/>
        </w:rPr>
      </w:pPr>
      <w:r>
        <w:rPr>
          <w:rFonts w:ascii="Times New Roman" w:cs="Times New Roman" w:eastAsia="Times New Roman" w:hAnsi="Times New Roman"/>
          <w:sz w:val="18"/>
          <w:szCs w:val="18"/>
          <w:color w:val="auto"/>
        </w:rPr>
        <w:t>Date: May 10,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1"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b w:val="1"/>
          <w:bCs w:val="1"/>
          <w:color w:val="auto"/>
        </w:rPr>
        <w:t>Winston Kung</w:t>
      </w:r>
    </w:p>
    <w:p>
      <w:pPr>
        <w:spacing w:after="0" w:line="23"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b w:val="1"/>
          <w:bCs w:val="1"/>
          <w:color w:val="auto"/>
        </w:rPr>
        <w:t>Chief Operating Officer</w:t>
      </w:r>
    </w:p>
    <w:p>
      <w:pPr>
        <w:spacing w:after="0" w:line="2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and Chief Financial Officer</w:t>
      </w:r>
    </w:p>
    <w:p>
      <w:pPr>
        <w:spacing w:after="0" w:line="9"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4" w:name="page65"/>
    <w:bookmarkEnd w:id="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lvl w:ilvl="1">
      <w:lvlJc w:val="left"/>
      <w:lvlText w:val="%2"/>
      <w:numFmt w:val="decimal"/>
      <w:start w:val="104"/>
    </w:lvl>
  </w:abstractNum>
  <w:abstractNum w:abstractNumId="12">
    <w:nsid w:val="75A2A8D4"/>
    <w:multiLevelType w:val="hybridMultilevel"/>
    <w:lvl w:ilvl="0">
      <w:lvlJc w:val="left"/>
      <w:lvlText w:val="(%1)"/>
      <w:numFmt w:val="lowerLetter"/>
      <w:start w:val="1"/>
    </w:lvl>
    <w:lvl w:ilvl="1">
      <w:lvlJc w:val="left"/>
      <w:lvlText w:val="-"/>
      <w:numFmt w:val="bullet"/>
      <w:start w:val="1"/>
    </w:lvl>
  </w:abstractNum>
  <w:abstractNum w:abstractNumId="13">
    <w:nsid w:val="8EDBDA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4">
    <w:nsid w:val="79838CB2"/>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1"/>
    </w:lvl>
  </w:abstractNum>
  <w:abstractNum w:abstractNumId="15">
    <w:nsid w:val="4353D0CD"/>
    <w:multiLevelType w:val="hybridMultilevel"/>
    <w:lvl w:ilvl="0">
      <w:lvlJc w:val="left"/>
      <w:lvlText w:val="%1"/>
      <w:numFmt w:val="decimal"/>
      <w:start w:val="1"/>
    </w:lvl>
    <w:lvl w:ilvl="1">
      <w:lvlJc w:val="left"/>
      <w:lvlText w:val="(%2)"/>
      <w:numFmt w:val="upperLetter"/>
      <w:start w:val="2"/>
    </w:lvl>
    <w:lvl w:ilvl="2">
      <w:lvlJc w:val="left"/>
      <w:lvlText w:val="-"/>
      <w:numFmt w:val="bullet"/>
      <w:start w:val="1"/>
    </w:lvl>
  </w:abstractNum>
  <w:abstractNum w:abstractNumId="16">
    <w:nsid w:val="B03E0C6"/>
    <w:multiLevelType w:val="hybridMultilevel"/>
    <w:lvl w:ilvl="0">
      <w:lvlJc w:val="left"/>
      <w:lvlText w:val="(%1)"/>
      <w:numFmt w:val="decimal"/>
      <w:start w:val="2"/>
    </w:lvl>
    <w:lvl w:ilvl="1">
      <w:lvlJc w:val="left"/>
      <w:lvlText w:val="(%2)"/>
      <w:numFmt w:val="upperLetter"/>
      <w:start w:val="1"/>
    </w:lvl>
    <w:lvl w:ilvl="2">
      <w:lvlJc w:val="left"/>
      <w:lvlText w:val="-"/>
      <w:numFmt w:val="bullet"/>
      <w:start w:val="1"/>
    </w:lvl>
  </w:abstractNum>
  <w:abstractNum w:abstractNumId="17">
    <w:nsid w:val="189A769B"/>
    <w:multiLevelType w:val="hybridMultilevel"/>
    <w:lvl w:ilvl="0">
      <w:lvlJc w:val="left"/>
      <w:lvlText w:val="%1"/>
      <w:numFmt w:val="decimal"/>
      <w:start w:val="1"/>
    </w:lvl>
    <w:lvl w:ilvl="1">
      <w:lvlJc w:val="left"/>
      <w:lvlText w:val="(%2)"/>
      <w:numFmt w:val="upperLetter"/>
      <w:start w:val="2"/>
    </w:lvl>
    <w:lvl w:ilvl="2">
      <w:lvlJc w:val="left"/>
      <w:lvlText w:val="-"/>
      <w:numFmt w:val="bullet"/>
      <w:start w:val="1"/>
    </w:lvl>
  </w:abstractNum>
  <w:abstractNum w:abstractNumId="18">
    <w:nsid w:val="54E49EB4"/>
    <w:multiLevelType w:val="hybridMultilevel"/>
    <w:lvl w:ilvl="0">
      <w:lvlJc w:val="left"/>
      <w:lvlText w:val="(%1)"/>
      <w:numFmt w:val="decimal"/>
      <w:start w:val="3"/>
    </w:lvl>
    <w:lvl w:ilvl="1">
      <w:lvlJc w:val="left"/>
      <w:lvlText w:val="(%2)"/>
      <w:numFmt w:val="upperLetter"/>
      <w:start w:val="1"/>
    </w:lvl>
    <w:lvl w:ilvl="2">
      <w:lvlJc w:val="left"/>
      <w:lvlText w:val="-"/>
      <w:numFmt w:val="bullet"/>
      <w:start w:val="1"/>
    </w:lvl>
  </w:abstractNum>
  <w:abstractNum w:abstractNumId="19">
    <w:nsid w:val="71F32454"/>
    <w:multiLevelType w:val="hybridMultilevel"/>
    <w:lvl w:ilvl="0">
      <w:lvlJc w:val="left"/>
      <w:lvlText w:val="(%1)"/>
      <w:numFmt w:val="upperLetter"/>
      <w:start w:val="6"/>
    </w:lvl>
    <w:lvl w:ilvl="1">
      <w:lvlJc w:val="left"/>
      <w:lvlText w:val="-"/>
      <w:numFmt w:val="bullet"/>
      <w:start w:val="1"/>
    </w:lvl>
  </w:abstractNum>
  <w:abstractNum w:abstractNumId="20">
    <w:nsid w:val="2CA8861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5"/>
    </w:lvl>
    <w:lvl w:ilvl="3">
      <w:lvlJc w:val="left"/>
      <w:lvlText w:val="-"/>
      <w:numFmt w:val="bullet"/>
      <w:start w:val="1"/>
    </w:lvl>
  </w:abstractNum>
  <w:abstractNum w:abstractNumId="21">
    <w:nsid w:val="836C40E"/>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lvl w:ilvl="3">
      <w:lvlJc w:val="left"/>
      <w:lvlText w:val="-"/>
      <w:numFmt w:val="bullet"/>
      <w:start w:val="1"/>
    </w:lvl>
  </w:abstractNum>
  <w:abstractNum w:abstractNumId="22">
    <w:nsid w:val="2901D8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23">
    <w:nsid w:val="3A95F874"/>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4"/>
      <w:numFmt w:val="decimal"/>
      <w:start w:val="1"/>
    </w:lvl>
    <w:lvl w:ilvl="4">
      <w:lvlJc w:val="left"/>
      <w:lvlText w:val="-"/>
      <w:numFmt w:val="bullet"/>
      <w:start w:val="1"/>
    </w:lvl>
  </w:abstractNum>
  <w:abstractNum w:abstractNumId="24">
    <w:nsid w:val="8138641"/>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
      <w:numFmt w:val="bullet"/>
      <w:start w:val="1"/>
    </w:lvl>
  </w:abstractNum>
  <w:abstractNum w:abstractNumId="25">
    <w:nsid w:val="1E7FF521"/>
    <w:multiLevelType w:val="hybridMultilevel"/>
    <w:lvl w:ilvl="0">
      <w:lvlJc w:val="left"/>
      <w:lvlText w:val="(%1)"/>
      <w:numFmt w:val="lowerRoman"/>
      <w:start w:val="2"/>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lowerLetter"/>
      <w:start w:val="1"/>
    </w:lvl>
    <w:lvl w:ilvl="1">
      <w:lvlJc w:val="left"/>
      <w:lvlText w:val="-"/>
      <w:numFmt w:val="bullet"/>
      <w:start w:val="1"/>
    </w:lvl>
  </w:abstractNum>
  <w:abstractNum w:abstractNumId="28">
    <w:nsid w:val="6CEAF087"/>
    <w:multiLevelType w:val="hybridMultilevel"/>
    <w:lvl w:ilvl="0">
      <w:lvlJc w:val="left"/>
      <w:lvlText w:val="(%1)"/>
      <w:numFmt w:val="lowerLetter"/>
      <w:start w:val="1"/>
    </w:lvl>
    <w:lvl w:ilvl="1">
      <w:lvlJc w:val="left"/>
      <w:lvlText w:val="-"/>
      <w:numFmt w:val="bullet"/>
      <w:start w:val="1"/>
    </w:lvl>
  </w:abstractNum>
  <w:abstractNum w:abstractNumId="29">
    <w:nsid w:val="22221A70"/>
    <w:multiLevelType w:val="hybridMultilevel"/>
    <w:lvl w:ilvl="0">
      <w:lvlJc w:val="left"/>
      <w:lvlText w:val="(%1)"/>
      <w:numFmt w:val="lowerLetter"/>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177" Type="http://schemas.openxmlformats.org/officeDocument/2006/relationships/hyperlink" Target="https://www.sec.gov/Archives/edgar/data/1699382/000119312520257820/d95525dex31.htm" TargetMode="External"/><Relationship Id="rId178" Type="http://schemas.openxmlformats.org/officeDocument/2006/relationships/hyperlink" Target="https://www.sec.gov/Archives/edgar/data/1699382/000119312520257820/d9552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2023-05-10T07:08:04Z</dcterms:created>
  <dcterms:modified xsi:type="dcterms:W3CDTF">2023-05-10T07:08:04Z</dcterms:modified>
</cp:coreProperties>
</file>