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8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Kung Winston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84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20"/>
          <w:szCs w:val="20"/>
          <w:color w:val="0000FF"/>
        </w:rPr>
        <w:t>COO, CFO</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845"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3"/>
                <w:szCs w:val="13"/>
                <w:color w:val="auto"/>
              </w:rPr>
            </w:pPr>
          </w:p>
        </w:tc>
        <w:tc>
          <w:tcPr>
            <w:tcW w:w="920" w:type="dxa"/>
            <w:vAlign w:val="bottom"/>
          </w:tcPr>
          <w:p>
            <w:pPr>
              <w:ind w:left="2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02/21/2028</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8"/>
              </w:rPr>
              <w:t>238,635</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3.22</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02/21/2028</w:t>
            </w:r>
          </w:p>
        </w:tc>
        <w:tc>
          <w:tcPr>
            <w:tcW w:w="17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Pr>
          <w:p>
            <w:pPr>
              <w:jc w:val="center"/>
              <w:ind w:left="37"/>
              <w:spacing w:after="0"/>
              <w:rPr>
                <w:sz w:val="20"/>
                <w:szCs w:val="20"/>
                <w:color w:val="auto"/>
              </w:rPr>
            </w:pPr>
            <w:r>
              <w:rPr>
                <w:rFonts w:ascii="Times New Roman" w:cs="Times New Roman" w:eastAsia="Times New Roman" w:hAnsi="Times New Roman"/>
                <w:sz w:val="20"/>
                <w:szCs w:val="20"/>
                <w:color w:val="0000FF"/>
                <w:w w:val="98"/>
              </w:rPr>
              <w:t>237,412</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3.22</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Borders>
              <w:top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03/09/2030</w:t>
            </w:r>
          </w:p>
        </w:tc>
        <w:tc>
          <w:tcPr>
            <w:tcW w:w="1720" w:type="dxa"/>
            <w:vAlign w:val="bottom"/>
            <w:tcBorders>
              <w:top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top w:val="single" w:sz="8" w:color="2C2C2C"/>
            </w:tcBorders>
          </w:tcPr>
          <w:p>
            <w:pPr>
              <w:jc w:val="center"/>
              <w:ind w:left="17"/>
              <w:spacing w:after="0"/>
              <w:rPr>
                <w:sz w:val="20"/>
                <w:szCs w:val="20"/>
                <w:color w:val="auto"/>
              </w:rPr>
            </w:pPr>
            <w:r>
              <w:rPr>
                <w:rFonts w:ascii="Times New Roman" w:cs="Times New Roman" w:eastAsia="Times New Roman" w:hAnsi="Times New Roman"/>
                <w:sz w:val="20"/>
                <w:szCs w:val="20"/>
                <w:color w:val="0000FF"/>
                <w:w w:val="98"/>
              </w:rPr>
              <w:t>87,462</w:t>
            </w:r>
          </w:p>
        </w:tc>
        <w:tc>
          <w:tcPr>
            <w:tcW w:w="9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rPr>
              <w:t>3.9</w:t>
            </w:r>
          </w:p>
        </w:tc>
        <w:tc>
          <w:tcPr>
            <w:tcW w:w="94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-902335</wp:posOffset>
            </wp:positionV>
            <wp:extent cx="6927850" cy="74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743585"/>
                    </a:xfrm>
                    <a:prstGeom prst="rect">
                      <a:avLst/>
                    </a:prstGeom>
                    <a:noFill/>
                  </pic:spPr>
                </pic:pic>
              </a:graphicData>
            </a:graphic>
          </wp:anchor>
        </w:drawing>
      </w:r>
    </w:p>
    <w:p>
      <w:pPr>
        <w:ind w:left="40" w:right="10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Of the 476,047 shares originally subject to the option, 357,035 of such shares (the "Time-Based Portion") shall vest according to the following schedule: one fourth of Time Based Portion vested on November 27, 2018, and one forty-eighth of the Time-Based Portion shall vest each month thereafter. The remaining 119,012 shares subject to the option (the "Milestone-Based Portion") shall vest according to the following schedule: one forty-eighth of the Milestone-Based Portion shall immediately vest upon the first day of trading of the Issuer's shares following completion of the Issuer's initial public offering, and one forty-eighth of the Milestone-Based Portion shall vest each month thereafter. The Reporting Person transferred 237,412 vested options as of September 20, 2020 to the Winston Kung Irrevocable Family Trust, and the remaining options held directly by the Reporting Person continue to vest according to the terms of the option grant.</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of the shares subject to the option are vested and immediately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Winston Kung Irrevocable Family Trust for the benefit of the Reporting Person's immediate family.</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of the shares subject to the option vested on April 4, 2020, and one forty-eighth of the shares subject to the option shall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4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93"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as the undersigned's true and lawful attorney-in-fact to:</w:t>
      </w:r>
    </w:p>
    <w:p>
      <w:pPr>
        <w:spacing w:after="0" w:line="71" w:lineRule="exact"/>
        <w:rPr>
          <w:sz w:val="20"/>
          <w:szCs w:val="20"/>
          <w:color w:val="auto"/>
        </w:rPr>
      </w:pPr>
    </w:p>
    <w:p>
      <w:pPr>
        <w:ind w:right="259"/>
        <w:spacing w:after="0" w:line="279"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Winston Kung</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Winston Kung</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66963"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2020-09-24T18:10:57Z</dcterms:created>
  <dcterms:modified xsi:type="dcterms:W3CDTF">2020-09-24T18:10:57Z</dcterms:modified>
</cp:coreProperties>
</file>