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182245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41"/>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9"/>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Clarke Drive, Suite 3,</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Cranbury, NJ</w:t>
            </w:r>
          </w:p>
        </w:tc>
        <w:tc>
          <w:tcPr>
            <w:tcW w:w="36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08512</w:t>
            </w:r>
          </w:p>
        </w:tc>
      </w:tr>
      <w:tr>
        <w:trPr>
          <w:trHeight w:val="17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gridSpan w:val="2"/>
            <w:vMerge w:val="continue"/>
          </w:tcPr>
          <w:p>
            <w:pPr>
              <w:spacing w:after="0"/>
              <w:rPr>
                <w:sz w:val="15"/>
                <w:szCs w:val="15"/>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$0.00001 par value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PMVP</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On March 3, 2021, PMV Pharmaceuticals, Inc. issued a press release announcing its financial results for the fourth quarter and full year ended December 31, 2020. The full text of the press release is attached as Exhibit 99.1 to this Current Report on Form 8-K and is incorporated herein by reference.</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0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800" w:type="dxa"/>
            <w:vAlign w:val="bottom"/>
            <w:tcBorders>
              <w:top w:val="single" w:sz="8" w:color="auto"/>
            </w:tcBorders>
          </w:tcPr>
          <w:p>
            <w:pPr>
              <w:jc w:val="right"/>
              <w:ind w:right="402"/>
              <w:spacing w:after="0"/>
              <w:rPr>
                <w:sz w:val="20"/>
                <w:szCs w:val="20"/>
                <w:color w:val="auto"/>
              </w:rPr>
            </w:pPr>
            <w:r>
              <w:rPr>
                <w:rFonts w:ascii="Times New Roman" w:cs="Times New Roman" w:eastAsia="Times New Roman" w:hAnsi="Times New Roman"/>
                <w:sz w:val="18"/>
                <w:szCs w:val="18"/>
                <w:color w:val="auto"/>
                <w:w w:val="95"/>
              </w:rPr>
              <w:t>99.1</w:t>
            </w:r>
          </w:p>
        </w:tc>
        <w:tc>
          <w:tcPr>
            <w:tcW w:w="240" w:type="dxa"/>
            <w:vAlign w:val="bottom"/>
          </w:tcPr>
          <w:p>
            <w:pPr>
              <w:spacing w:after="0"/>
              <w:rPr>
                <w:sz w:val="24"/>
                <w:szCs w:val="24"/>
                <w:color w:val="auto"/>
              </w:rPr>
            </w:pPr>
          </w:p>
        </w:tc>
        <w:tc>
          <w:tcPr>
            <w:tcW w:w="10200" w:type="dxa"/>
            <w:vAlign w:val="bottom"/>
            <w:tcBorders>
              <w:top w:val="single" w:sz="8" w:color="auto"/>
            </w:tcBorders>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u w:val="single" w:color="auto"/>
                  <w:color w:val="0000EE"/>
                </w:rPr>
                <w:t>Press Release issued by PMV Pharmaceuticals, Inc., dated March 3, 2021</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spacing w:after="0"/>
        <w:tabs>
          <w:tab w:leader="none" w:pos="5720" w:val="left"/>
          <w:tab w:leader="none" w:pos="8000" w:val="left"/>
        </w:tabs>
        <w:rPr>
          <w:sz w:val="20"/>
          <w:szCs w:val="20"/>
          <w:color w:val="auto"/>
        </w:rPr>
      </w:pPr>
      <w:r>
        <w:rPr>
          <w:rFonts w:ascii="Times New Roman" w:cs="Times New Roman" w:eastAsia="Times New Roman" w:hAnsi="Times New Roman"/>
          <w:sz w:val="18"/>
          <w:szCs w:val="18"/>
          <w:color w:val="auto"/>
        </w:rPr>
        <w:t>Date: March 3,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91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3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Chief Operating Officer, and</w:t>
      </w:r>
    </w:p>
    <w:p>
      <w:pPr>
        <w:spacing w:after="0" w:line="23"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333" w:right="379" w:bottom="1440" w:gutter="0" w:footer="0" w:header="0"/>
        </w:sectPr>
      </w:pPr>
    </w:p>
    <w:bookmarkStart w:id="3" w:name="page4"/>
    <w:bookmarkEnd w:id="3"/>
    <w:p>
      <w:pPr>
        <w:ind w:left="10040"/>
        <w:spacing w:after="0"/>
        <w:rPr>
          <w:sz w:val="20"/>
          <w:szCs w:val="20"/>
          <w:color w:val="auto"/>
        </w:rPr>
      </w:pPr>
      <w:r>
        <w:rPr>
          <w:rFonts w:ascii="Arial" w:cs="Arial" w:eastAsia="Arial" w:hAnsi="Arial"/>
          <w:sz w:val="21"/>
          <w:szCs w:val="21"/>
          <w:b w:val="1"/>
          <w:bCs w:val="1"/>
          <w:color w:val="auto"/>
        </w:rPr>
        <w:t>Exhibit 99.1</w:t>
      </w:r>
    </w:p>
    <w:p>
      <w:pPr>
        <w:spacing w:after="0" w:line="38" w:lineRule="exact"/>
        <w:rPr>
          <w:sz w:val="20"/>
          <w:szCs w:val="20"/>
          <w:color w:val="auto"/>
        </w:rPr>
      </w:pPr>
    </w:p>
    <w:p>
      <w:pPr>
        <w:ind w:right="40"/>
        <w:spacing w:after="0" w:line="269" w:lineRule="auto"/>
        <w:rPr>
          <w:sz w:val="20"/>
          <w:szCs w:val="20"/>
          <w:color w:val="auto"/>
        </w:rPr>
      </w:pPr>
      <w:r>
        <w:rPr>
          <w:rFonts w:ascii="Arial" w:cs="Arial" w:eastAsia="Arial" w:hAnsi="Arial"/>
          <w:sz w:val="43"/>
          <w:szCs w:val="43"/>
          <w:b w:val="1"/>
          <w:bCs w:val="1"/>
          <w:color w:val="auto"/>
        </w:rPr>
        <w:t>PMV Pharmaceuticals Reports Fourth Quarter and Full Year 2020 Financial Results and Corporate Highlights</w:t>
      </w:r>
    </w:p>
    <w:p>
      <w:pPr>
        <w:spacing w:after="0" w:line="76" w:lineRule="exact"/>
        <w:rPr>
          <w:sz w:val="20"/>
          <w:szCs w:val="20"/>
          <w:color w:val="auto"/>
        </w:rPr>
      </w:pPr>
    </w:p>
    <w:p>
      <w:pPr>
        <w:ind w:left="880" w:hanging="440"/>
        <w:spacing w:after="0" w:line="241" w:lineRule="auto"/>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Initiated Phase 1/2 study of PC14586, a first-in-class precision oncology investigational therapy in patients with advanced solid tumors that have a p53 Y220C mutation</w:t>
      </w:r>
    </w:p>
    <w:p>
      <w:pPr>
        <w:spacing w:after="0" w:line="1" w:lineRule="exact"/>
        <w:rPr>
          <w:rFonts w:ascii="Times New Roman" w:cs="Times New Roman" w:eastAsia="Times New Roman" w:hAnsi="Times New Roman"/>
          <w:sz w:val="18"/>
          <w:szCs w:val="18"/>
          <w:color w:val="auto"/>
        </w:rPr>
      </w:pPr>
    </w:p>
    <w:p>
      <w:pPr>
        <w:ind w:left="880" w:hanging="440"/>
        <w:spacing w:after="0" w:line="230" w:lineRule="auto"/>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PC14586 granted Fast Track designation by the U.S. FDA</w:t>
      </w:r>
    </w:p>
    <w:p>
      <w:pPr>
        <w:ind w:left="880" w:hanging="440"/>
        <w:spacing w:after="0" w:line="230" w:lineRule="auto"/>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Appointed Deepika Jalota, Pharm. D. to Chief Regulatory and Quality Officer</w:t>
      </w:r>
    </w:p>
    <w:p>
      <w:pPr>
        <w:ind w:left="880" w:hanging="440"/>
        <w:spacing w:after="0"/>
        <w:tabs>
          <w:tab w:leader="none" w:pos="8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Expanded Scientific Advisory Board with appointment of Guillermina (Gigi) Lozano, Ph.D.</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CRANBURY, NJ, March 3, 2021 (GLOBE NEWSWIRE) – PMV Pharmaceuticals, Inc. (Nasdaq: PMVP), a precision oncology company pioneering the discovery and development of small molecule, tumor-agnostic therapies targeting p53 mutants, today reported financial results for the fourth quarter and full year ended December 31, 2020 and provided corporate highlights.</w:t>
      </w:r>
    </w:p>
    <w:p>
      <w:pPr>
        <w:spacing w:after="0" w:line="16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“2020 was a transformative year for PMV Pharma, marked by our entry into the clinic, a strengthened management team and successful completion of our Nasdaq initial public offering,” said David Mack, Ph.D., President and Chief Executive Officer. “The treatment of the first patient with PC14586, our tumor agnostic small molecule targeting the p53 Y220C mutant, was an important step forward in precision oncology. Our strong leadership and balance sheet position us to further advance our discovery pipeline of small molecule, tumor-agnostic precision medicine products that specifically target p53 mutants.”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w:t>
      </w:r>
    </w:p>
    <w:p>
      <w:pPr>
        <w:spacing w:after="0" w:line="208" w:lineRule="exact"/>
        <w:rPr>
          <w:sz w:val="20"/>
          <w:szCs w:val="20"/>
          <w:color w:val="auto"/>
        </w:rPr>
      </w:pPr>
    </w:p>
    <w:p>
      <w:pPr>
        <w:jc w:val="both"/>
        <w:ind w:left="760" w:hanging="442"/>
        <w:spacing w:after="0" w:line="235"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Initiated Phase 1/2 study of PC14586 in patients with advanced solid tumors that have a p53 Y220C mutation. The Phase 1/2 study will enroll up to 130 patients with a p53 Y220C mutation as determined by next generation sequencing. Phase 1 dose escalation will assess the safety, tolerability, pharmacokinetics, and preliminary anti-tumor activity of PC14586. Phase 2 will assess the overall response rate and duration of response at the PC14586 dose identified in Phase 1.</w:t>
      </w:r>
    </w:p>
    <w:p>
      <w:pPr>
        <w:spacing w:after="0" w:line="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Arial" w:cs="Arial" w:eastAsia="Arial" w:hAnsi="Arial"/>
          <w:sz w:val="21"/>
          <w:szCs w:val="21"/>
          <w:color w:val="auto"/>
        </w:rPr>
        <w:t>For information on the Phase 1/2 trial, please visit www.clinicaltrials.gov (NCT study identifier NCT04585750).</w:t>
      </w:r>
    </w:p>
    <w:p>
      <w:pPr>
        <w:spacing w:after="0" w:line="1" w:lineRule="exact"/>
        <w:rPr>
          <w:rFonts w:ascii="Times New Roman" w:cs="Times New Roman" w:eastAsia="Times New Roman" w:hAnsi="Times New Roman"/>
          <w:sz w:val="18"/>
          <w:szCs w:val="18"/>
          <w:color w:val="auto"/>
        </w:rPr>
      </w:pPr>
    </w:p>
    <w:p>
      <w:pPr>
        <w:ind w:left="760" w:hanging="442"/>
        <w:spacing w:after="0" w:line="230"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October, the FDA granted PMV Pharma Fast Track designation to PC14586 for the treatment of patients with locally advanced or metastatic solid tumors that have a p53 Y220C mutation.</w:t>
      </w:r>
    </w:p>
    <w:p>
      <w:pPr>
        <w:spacing w:after="0" w:line="1" w:lineRule="exact"/>
        <w:rPr>
          <w:rFonts w:ascii="Times New Roman" w:cs="Times New Roman" w:eastAsia="Times New Roman" w:hAnsi="Times New Roman"/>
          <w:sz w:val="18"/>
          <w:szCs w:val="18"/>
          <w:color w:val="auto"/>
        </w:rPr>
      </w:pPr>
    </w:p>
    <w:p>
      <w:pPr>
        <w:jc w:val="both"/>
        <w:ind w:left="760" w:hanging="442"/>
        <w:spacing w:after="0" w:line="237"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Appointment of Deepika Jalota, Pharm. D. to Chief Regulatory and Quality Officer, who joined PMV Pharma in June 2019 as Senior Vice President, Head of Regulatory Affairs and Quality Assurance. Dr. Jalota will continue to lead global regulatory strategy and execution as well as the quality assurance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jc w:val="both"/>
        <w:ind w:left="760"/>
        <w:spacing w:after="0" w:line="235" w:lineRule="auto"/>
        <w:rPr>
          <w:sz w:val="20"/>
          <w:szCs w:val="20"/>
          <w:color w:val="auto"/>
        </w:rPr>
      </w:pPr>
      <w:r>
        <w:rPr>
          <w:rFonts w:ascii="Arial" w:cs="Arial" w:eastAsia="Arial" w:hAnsi="Arial"/>
          <w:sz w:val="22"/>
          <w:szCs w:val="22"/>
          <w:color w:val="auto"/>
        </w:rPr>
        <w:t>Dr. Jalota is a strategic regulatory leader with more than 20 years of regulatory affairs and drug development experience in oncology and other therapeutic areas. Prior to joining PMV Pharma, she served as Vice President, Global Regulatory Strategy, Oncology at Bayer HealthCare Pharmaceuticals where she was responsible for driving the development of global regulatory strategies for multiple early and late-stage oncology projects, including Xofigo</w:t>
      </w:r>
      <w:r>
        <w:rPr>
          <w:rFonts w:ascii="Arial" w:cs="Arial" w:eastAsia="Arial" w:hAnsi="Arial"/>
          <w:sz w:val="18"/>
          <w:szCs w:val="18"/>
          <w:color w:val="auto"/>
        </w:rPr>
        <w:t>®</w:t>
      </w:r>
      <w:r>
        <w:rPr>
          <w:rFonts w:ascii="Arial" w:cs="Arial" w:eastAsia="Arial" w:hAnsi="Arial"/>
          <w:sz w:val="22"/>
          <w:szCs w:val="22"/>
          <w:color w:val="auto"/>
        </w:rPr>
        <w:t>, Vitrakvi</w:t>
      </w:r>
      <w:r>
        <w:rPr>
          <w:rFonts w:ascii="Arial" w:cs="Arial" w:eastAsia="Arial" w:hAnsi="Arial"/>
          <w:sz w:val="18"/>
          <w:szCs w:val="18"/>
          <w:color w:val="auto"/>
        </w:rPr>
        <w:t>i®</w:t>
      </w:r>
      <w:r>
        <w:rPr>
          <w:rFonts w:ascii="Arial" w:cs="Arial" w:eastAsia="Arial" w:hAnsi="Arial"/>
          <w:sz w:val="22"/>
          <w:szCs w:val="22"/>
          <w:color w:val="auto"/>
        </w:rPr>
        <w:t xml:space="preserve"> and Nubeqa</w:t>
      </w:r>
      <w:r>
        <w:rPr>
          <w:rFonts w:ascii="Arial" w:cs="Arial" w:eastAsia="Arial" w:hAnsi="Arial"/>
          <w:sz w:val="18"/>
          <w:szCs w:val="18"/>
          <w:color w:val="auto"/>
        </w:rPr>
        <w:t>®.</w:t>
      </w:r>
    </w:p>
    <w:p>
      <w:pPr>
        <w:spacing w:after="0" w:line="5" w:lineRule="exact"/>
        <w:rPr>
          <w:sz w:val="20"/>
          <w:szCs w:val="20"/>
          <w:color w:val="auto"/>
        </w:rPr>
      </w:pPr>
    </w:p>
    <w:p>
      <w:pPr>
        <w:ind w:left="760" w:hanging="442"/>
        <w:spacing w:after="0"/>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Expanded Scientific Advisory Board with the appointment of p53 pioneer Dr. Guillermina (Gigi) Lozano, Professor and Chair, Department of Genetics, MD Anderson Cancer Center.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2020 Financial Results</w:t>
      </w:r>
    </w:p>
    <w:p>
      <w:pPr>
        <w:spacing w:after="0" w:line="208" w:lineRule="exact"/>
        <w:rPr>
          <w:sz w:val="20"/>
          <w:szCs w:val="20"/>
          <w:color w:val="auto"/>
        </w:rPr>
      </w:pPr>
    </w:p>
    <w:p>
      <w:pPr>
        <w:jc w:val="both"/>
        <w:ind w:left="760" w:hanging="442"/>
        <w:spacing w:after="0" w:line="237"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PMV Pharma ended the fourth quarter with $361.4 million in cash, cash equivalents, and marketable securities, compared to $101.5 million as of December 31, 2019. Net cash used in operations was $32.7 million for the twelve months ended December 31, 2020 compared to $22.1 million for the twelve months ended December 31, 2019.</w:t>
      </w:r>
    </w:p>
    <w:p>
      <w:pPr>
        <w:ind w:left="760" w:hanging="442"/>
        <w:spacing w:after="0" w:line="23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Net loss for the year ended December 31, 2020 was $34.4 million compared to $25.4 million for the year ended December 31, 2019.</w:t>
      </w:r>
    </w:p>
    <w:p>
      <w:pPr>
        <w:spacing w:after="0" w:line="1" w:lineRule="exact"/>
        <w:rPr>
          <w:rFonts w:ascii="Times New Roman" w:cs="Times New Roman" w:eastAsia="Times New Roman" w:hAnsi="Times New Roman"/>
          <w:sz w:val="18"/>
          <w:szCs w:val="18"/>
          <w:color w:val="auto"/>
        </w:rPr>
      </w:pPr>
    </w:p>
    <w:p>
      <w:pPr>
        <w:jc w:val="both"/>
        <w:ind w:left="760" w:hanging="442"/>
        <w:spacing w:after="0" w:line="230"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Research and development (R&amp;D) expenses were $23.9 million for the year ended December 31, 2020 compared to $20.8 million for the year ended December 31, 2019. The increase in R&amp;D expenses was primarily related to increased headcount and clinical expenses related to advancing research on PC14586, the Company’s lead drug candidate.</w:t>
      </w:r>
    </w:p>
    <w:p>
      <w:pPr>
        <w:spacing w:after="0" w:line="2" w:lineRule="exact"/>
        <w:rPr>
          <w:rFonts w:ascii="Times New Roman" w:cs="Times New Roman" w:eastAsia="Times New Roman" w:hAnsi="Times New Roman"/>
          <w:sz w:val="18"/>
          <w:szCs w:val="18"/>
          <w:color w:val="auto"/>
        </w:rPr>
      </w:pPr>
    </w:p>
    <w:p>
      <w:pPr>
        <w:jc w:val="both"/>
        <w:ind w:left="760" w:hanging="442"/>
        <w:spacing w:after="0" w:line="237"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General and administrative (G&amp;A) expenses were $11.0 million for the year ended December 31, 2020, compared to $5.9 million for the year ended December 31, 2019. The increase in G&amp;A expenses was primarily due to expanding the infrastructure necessary for operating as a public company.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p53</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p53 plays a pivotal role in preventing abnormal cells from becoming a tumor by inducing programmed cell death. Mutant p53 takes on oncogenic properties that endow cancer cells with a growth advantage and resistance to anti-cancer therapy. The p53 Y220C mutation is associated with many cancers, including but not limited to breast, non-small cell lung cancer, colorectal, pancreatic, and ovarian cancers.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PC14586</w:t>
      </w:r>
    </w:p>
    <w:p>
      <w:pPr>
        <w:spacing w:after="0" w:line="208"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PC14586 is a first-in-class, small molecule, p53 reactivator designed to selectively bind to the crevice created by the p53 Y220C mutant protein, hence, restoring the wild-type, or normal, p53 protein structure and tumor suppressing function. PC14586 is being developed for the treatment of patients with locally advanced or metastatic solid tumors that have a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PMV Pharma</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PMV Pharma is a precision oncology company pioneering the discovery and development of small molecule, tumor-agnostic therapies targeting p53 mutants.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a pharmaceutical development focus. PMV Pharma is headquartered in Cranbury, New Jersey. For more information, please visit www.pmvpharma.com.</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0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the success of its current clinical trial for PC14586; the future plans or expectations for the Company’s discovery platform; and the period over which the Company estimates its existing cash and cash equivalents will be sufficient to fund its current operating plan.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3, 2021,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Balance Sheet Data</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(unaudited, 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740" w:type="dxa"/>
            <w:vAlign w:val="bottom"/>
            <w:tcBorders>
              <w:bottom w:val="single" w:sz="8" w:color="CFF0FC"/>
            </w:tcBorders>
          </w:tcPr>
          <w:p>
            <w:pPr>
              <w:spacing w:after="0"/>
              <w:rPr>
                <w:sz w:val="15"/>
                <w:szCs w:val="15"/>
                <w:color w:val="auto"/>
              </w:rPr>
            </w:pPr>
          </w:p>
        </w:tc>
        <w:tc>
          <w:tcPr>
            <w:tcW w:w="9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361,422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364,761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9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469,001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(109,880)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359,121</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365,531</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3"/>
        </w:trPr>
        <w:tc>
          <w:tcPr>
            <w:tcW w:w="6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PMV Pharmaceuticals,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Statements of Operations and Comprehensive Loss</w:t>
      </w: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5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FF0FC"/>
            </w:tcBorders>
          </w:tcPr>
          <w:p>
            <w:pPr>
              <w:spacing w:after="0"/>
              <w:rPr>
                <w:sz w:val="15"/>
                <w:szCs w:val="15"/>
                <w:color w:val="auto"/>
              </w:rPr>
            </w:pPr>
          </w:p>
        </w:tc>
        <w:tc>
          <w:tcPr>
            <w:tcW w:w="18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60" w:type="dxa"/>
            <w:vAlign w:val="bottom"/>
            <w:tcBorders>
              <w:bottom w:val="single" w:sz="8" w:color="CFF0FC"/>
            </w:tcBorders>
          </w:tcPr>
          <w:p>
            <w:pPr>
              <w:spacing w:after="0"/>
              <w:rPr>
                <w:sz w:val="15"/>
                <w:szCs w:val="15"/>
                <w:color w:val="auto"/>
              </w:rPr>
            </w:pPr>
          </w:p>
        </w:tc>
      </w:tr>
      <w:tr>
        <w:trPr>
          <w:trHeight w:val="223"/>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23,933</w:t>
            </w:r>
          </w:p>
        </w:tc>
        <w:tc>
          <w:tcPr>
            <w:tcW w:w="5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60" w:type="dxa"/>
            <w:vAlign w:val="bottom"/>
            <w:shd w:val="clear" w:color="auto" w:fill="CFF0FC"/>
          </w:tcPr>
          <w:p>
            <w:pPr>
              <w:spacing w:after="0"/>
              <w:rPr>
                <w:sz w:val="19"/>
                <w:szCs w:val="19"/>
                <w:color w:val="auto"/>
              </w:rPr>
            </w:pPr>
          </w:p>
        </w:tc>
      </w:tr>
      <w:tr>
        <w:trPr>
          <w:trHeight w:val="223"/>
        </w:trPr>
        <w:tc>
          <w:tcPr>
            <w:tcW w:w="59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6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w:t>
            </w:r>
          </w:p>
        </w:tc>
        <w:tc>
          <w:tcPr>
            <w:tcW w:w="60" w:type="dxa"/>
            <w:vAlign w:val="bottom"/>
            <w:shd w:val="clear" w:color="auto" w:fill="CFF0FC"/>
          </w:tcPr>
          <w:p>
            <w:pPr>
              <w:spacing w:after="0"/>
              <w:rPr>
                <w:sz w:val="19"/>
                <w:szCs w:val="19"/>
                <w:color w:val="auto"/>
              </w:rPr>
            </w:pPr>
          </w:p>
        </w:tc>
      </w:tr>
      <w:tr>
        <w:trPr>
          <w:trHeight w:val="23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shd w:val="clear" w:color="auto" w:fill="CFF0FC"/>
          </w:tcPr>
          <w:p>
            <w:pPr>
              <w:spacing w:after="0"/>
              <w:rPr>
                <w:sz w:val="19"/>
                <w:szCs w:val="19"/>
                <w:color w:val="auto"/>
              </w:rPr>
            </w:pPr>
          </w:p>
        </w:tc>
      </w:tr>
      <w:tr>
        <w:trPr>
          <w:trHeight w:val="229"/>
        </w:trPr>
        <w:tc>
          <w:tcPr>
            <w:tcW w:w="5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FF0FC"/>
            </w:tcBorders>
          </w:tcPr>
          <w:p>
            <w:pPr>
              <w:spacing w:after="0"/>
              <w:rPr>
                <w:sz w:val="19"/>
                <w:szCs w:val="19"/>
                <w:color w:val="auto"/>
              </w:rPr>
            </w:pPr>
          </w:p>
        </w:tc>
      </w:tr>
      <w:tr>
        <w:trPr>
          <w:trHeight w:val="223"/>
        </w:trPr>
        <w:tc>
          <w:tcPr>
            <w:tcW w:w="5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60" w:type="dxa"/>
            <w:vAlign w:val="bottom"/>
            <w:shd w:val="clear" w:color="auto" w:fill="CFF0FC"/>
          </w:tcPr>
          <w:p>
            <w:pPr>
              <w:spacing w:after="0"/>
              <w:rPr>
                <w:sz w:val="19"/>
                <w:szCs w:val="19"/>
                <w:color w:val="auto"/>
              </w:rPr>
            </w:pPr>
          </w:p>
        </w:tc>
      </w:tr>
      <w:tr>
        <w:trPr>
          <w:trHeight w:val="223"/>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(25,344)</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9"/>
                <w:szCs w:val="19"/>
                <w:color w:val="auto"/>
              </w:rPr>
            </w:pPr>
          </w:p>
        </w:tc>
      </w:tr>
      <w:tr>
        <w:trPr>
          <w:trHeight w:val="223"/>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60" w:type="dxa"/>
            <w:vAlign w:val="bottom"/>
          </w:tcPr>
          <w:p>
            <w:pPr>
              <w:spacing w:after="0"/>
              <w:rPr>
                <w:sz w:val="19"/>
                <w:szCs w:val="19"/>
                <w:color w:val="auto"/>
              </w:rPr>
            </w:pPr>
          </w:p>
        </w:tc>
      </w:tr>
      <w:tr>
        <w:trPr>
          <w:trHeight w:val="229"/>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gains on marketable securities, net of tax</w:t>
            </w:r>
          </w:p>
        </w:tc>
        <w:tc>
          <w:tcPr>
            <w:tcW w:w="1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9"/>
                <w:szCs w:val="19"/>
                <w:color w:val="auto"/>
              </w:rPr>
            </w:pPr>
          </w:p>
        </w:tc>
      </w:tr>
      <w:tr>
        <w:trPr>
          <w:trHeight w:val="263"/>
        </w:trPr>
        <w:tc>
          <w:tcPr>
            <w:tcW w:w="59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(34,437)</w:t>
            </w:r>
          </w:p>
        </w:tc>
        <w:tc>
          <w:tcPr>
            <w:tcW w:w="3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60" w:type="dxa"/>
            <w:vAlign w:val="bottom"/>
            <w:tcBorders>
              <w:bottom w:val="single" w:sz="8" w:color="CFF0FC"/>
            </w:tcBorders>
          </w:tcPr>
          <w:p>
            <w:pPr>
              <w:spacing w:after="0"/>
              <w:rPr>
                <w:sz w:val="22"/>
                <w:szCs w:val="22"/>
                <w:color w:val="auto"/>
              </w:rPr>
            </w:pPr>
          </w:p>
        </w:tc>
      </w:tr>
      <w:tr>
        <w:trPr>
          <w:trHeight w:val="210"/>
        </w:trPr>
        <w:tc>
          <w:tcPr>
            <w:tcW w:w="5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8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shd w:val="clear" w:color="auto" w:fill="CFF0FC"/>
          </w:tcPr>
          <w:p>
            <w:pPr>
              <w:spacing w:after="0"/>
              <w:rPr>
                <w:sz w:val="18"/>
                <w:szCs w:val="18"/>
                <w:color w:val="auto"/>
              </w:rPr>
            </w:pPr>
          </w:p>
        </w:tc>
      </w:tr>
      <w:tr>
        <w:trPr>
          <w:trHeight w:val="234"/>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14,364,475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3,035,142</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For Investors &amp; Media:</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color w:val="auto"/>
        </w:rPr>
        <w:t>Winston Kung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u w:val="single" w:color="auto"/>
          <w:color w:val="03AFFD"/>
        </w:rPr>
        <w:t>investors@pmvpharma.com</w:t>
      </w:r>
    </w:p>
    <w:sectPr>
      <w:pgSz w:w="11900" w:h="16838" w:orient="portrait"/>
      <w:cols w:equalWidth="0" w:num="1">
        <w:col w:w="11240"/>
      </w:cols>
      <w:pgMar w:left="320" w:top="3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2021-03-03T15:20:07Z</dcterms:created>
  <dcterms:modified xsi:type="dcterms:W3CDTF">2021-03-03T15:20:07Z</dcterms:modified>
</cp:coreProperties>
</file>