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748665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46990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1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-94615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ind w:left="3820" w:right="1580" w:hanging="3799"/>
        <w:spacing w:after="0" w:line="329" w:lineRule="auto"/>
        <w:tabs>
          <w:tab w:leader="none" w:pos="49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2025</w:t>
      </w:r>
    </w:p>
    <w:p>
      <w:pPr>
        <w:spacing w:after="0" w:line="225"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63" w:lineRule="exact"/>
        <w:rPr>
          <w:sz w:val="24"/>
          <w:szCs w:val="24"/>
          <w:color w:val="auto"/>
        </w:rPr>
      </w:pPr>
    </w:p>
    <w:p>
      <w:pPr>
        <w:ind w:left="3640"/>
        <w:spacing w:after="0"/>
        <w:tabs>
          <w:tab w:leader="none" w:pos="67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001-39539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80010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PMV PHARMACEUTICALS,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55880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27" w:lineRule="exact"/>
        <w:rPr>
          <w:sz w:val="24"/>
          <w:szCs w:val="24"/>
          <w:color w:val="auto"/>
        </w:rPr>
      </w:pPr>
    </w:p>
    <w:tbl>
      <w:tblPr>
        <w:tblLayout w:type="fixed"/>
        <w:tblInd w:w="1420" w:type="dxa"/>
        <w:tblCellMar>
          <w:top w:w="0" w:type="dxa"/>
          <w:left w:w="0" w:type="dxa"/>
          <w:bottom w:w="0" w:type="dxa"/>
          <w:right w:w="0" w:type="dxa"/>
        </w:tblCellMar>
      </w:tblPr>
      <w:tr>
        <w:trPr>
          <w:trHeight w:val="214"/>
        </w:trPr>
        <w:tc>
          <w:tcPr>
            <w:tcW w:w="4620" w:type="dxa"/>
            <w:vAlign w:val="bottom"/>
          </w:tcPr>
          <w:p>
            <w:pPr>
              <w:jc w:val="center"/>
              <w:ind w:right="173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96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46-3218129</w:t>
            </w:r>
          </w:p>
        </w:tc>
      </w:tr>
      <w:tr>
        <w:trPr>
          <w:trHeight w:val="148"/>
        </w:trPr>
        <w:tc>
          <w:tcPr>
            <w:tcW w:w="4620" w:type="dxa"/>
            <w:vAlign w:val="bottom"/>
          </w:tcPr>
          <w:p>
            <w:pPr>
              <w:jc w:val="center"/>
              <w:ind w:right="173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960" w:type="dxa"/>
            <w:vAlign w:val="bottom"/>
          </w:tcPr>
          <w:p>
            <w:pPr>
              <w:jc w:val="center"/>
              <w:ind w:left="176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620" w:type="dxa"/>
            <w:vAlign w:val="bottom"/>
          </w:tcPr>
          <w:p>
            <w:pPr>
              <w:jc w:val="center"/>
              <w:ind w:right="173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960" w:type="dxa"/>
            <w:vAlign w:val="bottom"/>
          </w:tcPr>
          <w:p>
            <w:pPr>
              <w:jc w:val="center"/>
              <w:ind w:left="174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85"/>
        </w:trPr>
        <w:tc>
          <w:tcPr>
            <w:tcW w:w="4620" w:type="dxa"/>
            <w:vAlign w:val="bottom"/>
          </w:tcPr>
          <w:p>
            <w:pPr>
              <w:jc w:val="center"/>
              <w:ind w:right="1739"/>
              <w:spacing w:after="0"/>
              <w:rPr>
                <w:sz w:val="20"/>
                <w:szCs w:val="20"/>
                <w:color w:val="auto"/>
              </w:rPr>
            </w:pPr>
            <w:r>
              <w:rPr>
                <w:rFonts w:ascii="Times New Roman" w:cs="Times New Roman" w:eastAsia="Times New Roman" w:hAnsi="Times New Roman"/>
                <w:sz w:val="18"/>
                <w:szCs w:val="18"/>
                <w:b w:val="1"/>
                <w:bCs w:val="1"/>
                <w:color w:val="auto"/>
                <w:w w:val="99"/>
              </w:rPr>
              <w:t>400 Alexander Park Drive, Suite 301</w:t>
            </w:r>
          </w:p>
        </w:tc>
        <w:tc>
          <w:tcPr>
            <w:tcW w:w="2960" w:type="dxa"/>
            <w:vAlign w:val="bottom"/>
          </w:tcPr>
          <w:p>
            <w:pPr>
              <w:spacing w:after="0"/>
              <w:rPr>
                <w:sz w:val="24"/>
                <w:szCs w:val="24"/>
                <w:color w:val="auto"/>
              </w:rPr>
            </w:pPr>
          </w:p>
        </w:tc>
      </w:tr>
      <w:tr>
        <w:trPr>
          <w:trHeight w:val="214"/>
        </w:trPr>
        <w:tc>
          <w:tcPr>
            <w:tcW w:w="4620" w:type="dxa"/>
            <w:vAlign w:val="bottom"/>
          </w:tcPr>
          <w:p>
            <w:pPr>
              <w:jc w:val="center"/>
              <w:ind w:right="1759"/>
              <w:spacing w:after="0"/>
              <w:rPr>
                <w:sz w:val="20"/>
                <w:szCs w:val="20"/>
                <w:color w:val="auto"/>
              </w:rPr>
            </w:pPr>
            <w:r>
              <w:rPr>
                <w:rFonts w:ascii="Times New Roman" w:cs="Times New Roman" w:eastAsia="Times New Roman" w:hAnsi="Times New Roman"/>
                <w:sz w:val="18"/>
                <w:szCs w:val="18"/>
                <w:b w:val="1"/>
                <w:bCs w:val="1"/>
                <w:color w:val="auto"/>
                <w:w w:val="99"/>
              </w:rPr>
              <w:t>Princeton, NJ</w:t>
            </w:r>
          </w:p>
        </w:tc>
        <w:tc>
          <w:tcPr>
            <w:tcW w:w="296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08540</w:t>
            </w:r>
          </w:p>
        </w:tc>
      </w:tr>
      <w:tr>
        <w:trPr>
          <w:trHeight w:val="190"/>
        </w:trPr>
        <w:tc>
          <w:tcPr>
            <w:tcW w:w="4620" w:type="dxa"/>
            <w:vAlign w:val="bottom"/>
          </w:tcPr>
          <w:p>
            <w:pPr>
              <w:jc w:val="center"/>
              <w:ind w:right="175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960" w:type="dxa"/>
            <w:vAlign w:val="bottom"/>
          </w:tcPr>
          <w:p>
            <w:pPr>
              <w:jc w:val="center"/>
              <w:ind w:left="174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28" w:lineRule="exact"/>
        <w:rPr>
          <w:sz w:val="24"/>
          <w:szCs w:val="24"/>
          <w:color w:val="auto"/>
        </w:rPr>
      </w:pPr>
    </w:p>
    <w:p>
      <w:pPr>
        <w:ind w:left="302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(609) 642-6670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71120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38"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p>
      <w:pPr>
        <w:spacing w:after="0" w:line="59"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120" w:type="dxa"/>
            <w:vAlign w:val="bottom"/>
          </w:tcPr>
          <w:p>
            <w:pPr>
              <w:spacing w:after="0"/>
              <w:rPr>
                <w:sz w:val="13"/>
                <w:szCs w:val="13"/>
                <w:color w:val="auto"/>
              </w:rPr>
            </w:pPr>
          </w:p>
        </w:tc>
        <w:tc>
          <w:tcPr>
            <w:tcW w:w="4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45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20" w:type="dxa"/>
            <w:vAlign w:val="bottom"/>
          </w:tcPr>
          <w:p>
            <w:pPr>
              <w:spacing w:after="0"/>
              <w:rPr>
                <w:sz w:val="15"/>
                <w:szCs w:val="15"/>
                <w:color w:val="auto"/>
              </w:rPr>
            </w:pPr>
          </w:p>
        </w:tc>
        <w:tc>
          <w:tcPr>
            <w:tcW w:w="44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$0.00001</w:t>
            </w:r>
          </w:p>
        </w:tc>
        <w:tc>
          <w:tcPr>
            <w:tcW w:w="120" w:type="dxa"/>
            <w:vAlign w:val="bottom"/>
          </w:tcPr>
          <w:p>
            <w:pPr>
              <w:spacing w:after="0"/>
              <w:rPr>
                <w:sz w:val="19"/>
                <w:szCs w:val="19"/>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PMVP</w:t>
            </w:r>
          </w:p>
        </w:tc>
        <w:tc>
          <w:tcPr>
            <w:tcW w:w="120" w:type="dxa"/>
            <w:vAlign w:val="bottom"/>
          </w:tcPr>
          <w:p>
            <w:pPr>
              <w:spacing w:after="0"/>
              <w:rPr>
                <w:sz w:val="19"/>
                <w:szCs w:val="19"/>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c>
          <w:tcPr>
            <w:tcW w:w="0" w:type="dxa"/>
            <w:vAlign w:val="bottom"/>
          </w:tcPr>
          <w:p>
            <w:pPr>
              <w:spacing w:after="0"/>
              <w:rPr>
                <w:sz w:val="1"/>
                <w:szCs w:val="1"/>
                <w:color w:val="auto"/>
              </w:rPr>
            </w:pPr>
          </w:p>
        </w:tc>
      </w:tr>
    </w:tbl>
    <w:p>
      <w:pPr>
        <w:spacing w:after="0" w:line="14" w:lineRule="exact"/>
        <w:rPr>
          <w:sz w:val="24"/>
          <w:szCs w:val="24"/>
          <w:color w:val="auto"/>
        </w:rPr>
      </w:pPr>
    </w:p>
    <w:p>
      <w:pPr>
        <w:ind w:right="80" w:firstLine="509"/>
        <w:spacing w:after="0" w:line="222"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10" w:lineRule="exact"/>
        <w:rPr>
          <w:sz w:val="24"/>
          <w:szCs w:val="24"/>
          <w:color w:val="auto"/>
        </w:rPr>
      </w:pPr>
    </w:p>
    <w:p>
      <w:pPr>
        <w:ind w:right="140" w:firstLine="509"/>
        <w:spacing w:after="0" w:line="227"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9" w:lineRule="exact"/>
        <w:rPr>
          <w:sz w:val="24"/>
          <w:szCs w:val="24"/>
          <w:color w:val="auto"/>
        </w:rPr>
      </w:pPr>
    </w:p>
    <w:p>
      <w:pPr>
        <w:ind w:right="220" w:firstLine="509"/>
        <w:spacing w:after="0" w:line="265"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3"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2320" w:type="dxa"/>
            <w:vAlign w:val="bottom"/>
          </w:tcPr>
          <w:p>
            <w:pPr>
              <w:spacing w:after="0"/>
              <w:rPr>
                <w:sz w:val="20"/>
                <w:szCs w:val="20"/>
                <w:color w:val="auto"/>
              </w:rPr>
            </w:pPr>
            <w:r>
              <w:rPr>
                <w:rFonts w:ascii="Times New Roman" w:cs="Times New Roman" w:eastAsia="Times New Roman" w:hAnsi="Times New Roman"/>
                <w:sz w:val="17"/>
                <w:szCs w:val="17"/>
                <w:color w:val="auto"/>
              </w:rPr>
              <w:t>Large accelerated filer</w:t>
            </w:r>
          </w:p>
        </w:tc>
        <w:tc>
          <w:tcPr>
            <w:tcW w:w="3240" w:type="dxa"/>
            <w:vAlign w:val="bottom"/>
          </w:tcPr>
          <w:p>
            <w:pPr>
              <w:ind w:left="780"/>
              <w:spacing w:after="0" w:line="171" w:lineRule="exact"/>
              <w:rPr>
                <w:sz w:val="20"/>
                <w:szCs w:val="20"/>
                <w:color w:val="auto"/>
              </w:rPr>
            </w:pPr>
            <w:r>
              <w:rPr>
                <w:rFonts w:ascii="MS PGothic" w:cs="MS PGothic" w:eastAsia="MS PGothic" w:hAnsi="MS PGothic"/>
                <w:sz w:val="17"/>
                <w:szCs w:val="17"/>
                <w:color w:val="auto"/>
              </w:rPr>
              <w:t>☐</w:t>
            </w:r>
          </w:p>
        </w:tc>
        <w:tc>
          <w:tcPr>
            <w:tcW w:w="4820" w:type="dxa"/>
            <w:vAlign w:val="bottom"/>
          </w:tcPr>
          <w:p>
            <w:pPr>
              <w:ind w:left="2320"/>
              <w:spacing w:after="0"/>
              <w:rPr>
                <w:sz w:val="20"/>
                <w:szCs w:val="20"/>
                <w:color w:val="auto"/>
              </w:rPr>
            </w:pPr>
            <w:r>
              <w:rPr>
                <w:rFonts w:ascii="Times New Roman" w:cs="Times New Roman" w:eastAsia="Times New Roman" w:hAnsi="Times New Roman"/>
                <w:sz w:val="17"/>
                <w:szCs w:val="17"/>
                <w:color w:val="auto"/>
              </w:rPr>
              <w:t>Accelerated filer</w:t>
            </w:r>
          </w:p>
        </w:tc>
        <w:tc>
          <w:tcPr>
            <w:tcW w:w="780" w:type="dxa"/>
            <w:vAlign w:val="bottom"/>
          </w:tcPr>
          <w:p>
            <w:pPr>
              <w:ind w:left="640"/>
              <w:spacing w:after="0" w:line="171" w:lineRule="exact"/>
              <w:rPr>
                <w:sz w:val="20"/>
                <w:szCs w:val="20"/>
                <w:color w:val="auto"/>
              </w:rPr>
            </w:pPr>
            <w:r>
              <w:rPr>
                <w:rFonts w:ascii="MS PGothic" w:cs="MS PGothic" w:eastAsia="MS PGothic" w:hAnsi="MS PGothic"/>
                <w:sz w:val="17"/>
                <w:szCs w:val="17"/>
                <w:color w:val="auto"/>
                <w:w w:val="70"/>
              </w:rPr>
              <w:t>☐</w:t>
            </w:r>
          </w:p>
        </w:tc>
      </w:tr>
      <w:tr>
        <w:trPr>
          <w:trHeight w:val="283"/>
        </w:trPr>
        <w:tc>
          <w:tcPr>
            <w:tcW w:w="2320" w:type="dxa"/>
            <w:vAlign w:val="bottom"/>
          </w:tcPr>
          <w:p>
            <w:pPr>
              <w:spacing w:after="0"/>
              <w:rPr>
                <w:sz w:val="20"/>
                <w:szCs w:val="20"/>
                <w:color w:val="auto"/>
              </w:rPr>
            </w:pPr>
            <w:r>
              <w:rPr>
                <w:rFonts w:ascii="Times New Roman" w:cs="Times New Roman" w:eastAsia="Times New Roman" w:hAnsi="Times New Roman"/>
                <w:sz w:val="17"/>
                <w:szCs w:val="17"/>
                <w:color w:val="auto"/>
              </w:rPr>
              <w:t>Non-accelerated filer</w:t>
            </w:r>
          </w:p>
        </w:tc>
        <w:tc>
          <w:tcPr>
            <w:tcW w:w="3240" w:type="dxa"/>
            <w:vAlign w:val="bottom"/>
          </w:tcPr>
          <w:p>
            <w:pPr>
              <w:ind w:left="780"/>
              <w:spacing w:after="0" w:line="171" w:lineRule="exact"/>
              <w:rPr>
                <w:sz w:val="20"/>
                <w:szCs w:val="20"/>
                <w:color w:val="auto"/>
              </w:rPr>
            </w:pPr>
            <w:r>
              <w:rPr>
                <w:rFonts w:ascii="MS PGothic" w:cs="MS PGothic" w:eastAsia="MS PGothic" w:hAnsi="MS PGothic"/>
                <w:sz w:val="17"/>
                <w:szCs w:val="17"/>
                <w:color w:val="auto"/>
              </w:rPr>
              <w:t>☒</w:t>
            </w:r>
          </w:p>
        </w:tc>
        <w:tc>
          <w:tcPr>
            <w:tcW w:w="4820" w:type="dxa"/>
            <w:vAlign w:val="bottom"/>
          </w:tcPr>
          <w:p>
            <w:pPr>
              <w:ind w:left="2320"/>
              <w:spacing w:after="0"/>
              <w:rPr>
                <w:sz w:val="20"/>
                <w:szCs w:val="20"/>
                <w:color w:val="auto"/>
              </w:rPr>
            </w:pPr>
            <w:r>
              <w:rPr>
                <w:rFonts w:ascii="Times New Roman" w:cs="Times New Roman" w:eastAsia="Times New Roman" w:hAnsi="Times New Roman"/>
                <w:sz w:val="17"/>
                <w:szCs w:val="17"/>
                <w:color w:val="auto"/>
              </w:rPr>
              <w:t>Smaller reporting company</w:t>
            </w:r>
          </w:p>
        </w:tc>
        <w:tc>
          <w:tcPr>
            <w:tcW w:w="780" w:type="dxa"/>
            <w:vAlign w:val="bottom"/>
          </w:tcPr>
          <w:p>
            <w:pPr>
              <w:ind w:left="640"/>
              <w:spacing w:after="0" w:line="171" w:lineRule="exact"/>
              <w:rPr>
                <w:sz w:val="20"/>
                <w:szCs w:val="20"/>
                <w:color w:val="auto"/>
              </w:rPr>
            </w:pPr>
            <w:r>
              <w:rPr>
                <w:rFonts w:ascii="MS PGothic" w:cs="MS PGothic" w:eastAsia="MS PGothic" w:hAnsi="MS PGothic"/>
                <w:sz w:val="17"/>
                <w:szCs w:val="17"/>
                <w:color w:val="auto"/>
                <w:w w:val="70"/>
              </w:rPr>
              <w:t>☒</w:t>
            </w:r>
          </w:p>
        </w:tc>
      </w:tr>
      <w:tr>
        <w:trPr>
          <w:trHeight w:val="287"/>
        </w:trPr>
        <w:tc>
          <w:tcPr>
            <w:tcW w:w="23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4820" w:type="dxa"/>
            <w:vAlign w:val="bottom"/>
          </w:tcPr>
          <w:p>
            <w:pPr>
              <w:ind w:left="2320"/>
              <w:spacing w:after="0"/>
              <w:rPr>
                <w:sz w:val="20"/>
                <w:szCs w:val="20"/>
                <w:color w:val="auto"/>
              </w:rPr>
            </w:pPr>
            <w:r>
              <w:rPr>
                <w:rFonts w:ascii="Times New Roman" w:cs="Times New Roman" w:eastAsia="Times New Roman" w:hAnsi="Times New Roman"/>
                <w:sz w:val="17"/>
                <w:szCs w:val="17"/>
                <w:color w:val="auto"/>
              </w:rPr>
              <w:t>Emerging growth company</w:t>
            </w:r>
          </w:p>
        </w:tc>
        <w:tc>
          <w:tcPr>
            <w:tcW w:w="780" w:type="dxa"/>
            <w:vAlign w:val="bottom"/>
          </w:tcPr>
          <w:p>
            <w:pPr>
              <w:ind w:left="640"/>
              <w:spacing w:after="0" w:line="171" w:lineRule="exact"/>
              <w:rPr>
                <w:sz w:val="20"/>
                <w:szCs w:val="20"/>
                <w:color w:val="auto"/>
              </w:rPr>
            </w:pPr>
            <w:r>
              <w:rPr>
                <w:rFonts w:ascii="MS PGothic" w:cs="MS PGothic" w:eastAsia="MS PGothic" w:hAnsi="MS PGothic"/>
                <w:sz w:val="17"/>
                <w:szCs w:val="17"/>
                <w:color w:val="auto"/>
                <w:w w:val="70"/>
              </w:rPr>
              <w:t>☐</w:t>
            </w:r>
          </w:p>
        </w:tc>
      </w:tr>
    </w:tbl>
    <w:p>
      <w:pPr>
        <w:spacing w:after="0" w:line="22" w:lineRule="exact"/>
        <w:rPr>
          <w:sz w:val="24"/>
          <w:szCs w:val="24"/>
          <w:color w:val="auto"/>
        </w:rPr>
      </w:pPr>
    </w:p>
    <w:p>
      <w:pPr>
        <w:ind w:right="20" w:firstLine="509"/>
        <w:spacing w:after="0" w:line="233"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ind w:left="520"/>
        <w:spacing w:after="0" w:line="196" w:lineRule="exact"/>
        <w:tabs>
          <w:tab w:leader="none" w:pos="8980" w:val="left"/>
        </w:tabs>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ab/>
        <w:t xml:space="preserve">No </w:t>
      </w:r>
      <w:r>
        <w:rPr>
          <w:rFonts w:ascii="MS PGothic" w:cs="MS PGothic" w:eastAsia="MS PGothic" w:hAnsi="MS PGothic"/>
          <w:sz w:val="17"/>
          <w:szCs w:val="17"/>
          <w:color w:val="auto"/>
        </w:rPr>
        <w:t>☒</w:t>
      </w:r>
    </w:p>
    <w:p>
      <w:pPr>
        <w:spacing w:after="0" w:line="83" w:lineRule="exact"/>
        <w:rPr>
          <w:sz w:val="24"/>
          <w:szCs w:val="24"/>
          <w:color w:val="auto"/>
        </w:rPr>
      </w:pPr>
    </w:p>
    <w:p>
      <w:pPr>
        <w:ind w:right="40" w:firstLine="509"/>
        <w:spacing w:after="0" w:line="233"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filed all documents and reports required to be filed by Sections 12, 13 or 15(d) of the Securities Exchange Act of 1934 subsequent to the distribution of securities under a plan confirmed by a court.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8"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7"/>
          <w:szCs w:val="17"/>
          <w:color w:val="auto"/>
        </w:rPr>
        <w:t>As of May 9, 2025, the registrant had 51,952,680 shares of common stock, $0.00001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939800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104140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121285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388"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228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color w:val="0000FF"/>
                <w:w w:val="99"/>
              </w:rPr>
              <w:t>FINANCIAL INFORMATION</w:t>
            </w:r>
          </w:p>
        </w:tc>
        <w:tc>
          <w:tcPr>
            <w:tcW w:w="7260" w:type="dxa"/>
            <w:vAlign w:val="bottom"/>
            <w:gridSpan w:val="11"/>
            <w:vMerge w:val="restart"/>
          </w:tcPr>
          <w:p>
            <w:pPr>
              <w:spacing w:after="0"/>
              <w:rPr>
                <w:sz w:val="15"/>
                <w:szCs w:val="15"/>
                <w:color w:val="auto"/>
              </w:rPr>
            </w:pPr>
          </w:p>
        </w:tc>
        <w:tc>
          <w:tcPr>
            <w:tcW w:w="5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74"/>
        </w:trPr>
        <w:tc>
          <w:tcPr>
            <w:tcW w:w="1140" w:type="dxa"/>
            <w:vAlign w:val="bottom"/>
            <w:gridSpan w:val="2"/>
            <w:vMerge w:val="continue"/>
          </w:tcPr>
          <w:p>
            <w:pPr>
              <w:spacing w:after="0"/>
              <w:rPr>
                <w:sz w:val="14"/>
                <w:szCs w:val="14"/>
                <w:color w:val="auto"/>
              </w:rPr>
            </w:pPr>
          </w:p>
        </w:tc>
        <w:tc>
          <w:tcPr>
            <w:tcW w:w="2280" w:type="dxa"/>
            <w:vAlign w:val="bottom"/>
            <w:tcBorders>
              <w:bottom w:val="single" w:sz="8" w:color="0000FF"/>
            </w:tcBorders>
            <w:gridSpan w:val="8"/>
            <w:vMerge w:val="continue"/>
          </w:tcPr>
          <w:p>
            <w:pPr>
              <w:spacing w:after="0"/>
              <w:rPr>
                <w:sz w:val="14"/>
                <w:szCs w:val="14"/>
                <w:color w:val="auto"/>
              </w:rPr>
            </w:pPr>
          </w:p>
        </w:tc>
        <w:tc>
          <w:tcPr>
            <w:tcW w:w="7260" w:type="dxa"/>
            <w:vAlign w:val="bottom"/>
            <w:gridSpan w:val="11"/>
            <w:vMerge w:val="continue"/>
          </w:tcPr>
          <w:p>
            <w:pPr>
              <w:spacing w:after="0"/>
              <w:rPr>
                <w:sz w:val="14"/>
                <w:szCs w:val="14"/>
                <w:color w:val="auto"/>
              </w:rPr>
            </w:pPr>
          </w:p>
        </w:tc>
        <w:tc>
          <w:tcPr>
            <w:tcW w:w="56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4260" w:type="dxa"/>
            <w:vAlign w:val="bottom"/>
            <w:tcBorders>
              <w:bottom w:val="single" w:sz="8" w:color="0000FF"/>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FF"/>
                <w:w w:val="99"/>
              </w:rPr>
              <w:t>Condensed Consolidated Financial Statements (Unaudited)</w:t>
            </w:r>
          </w:p>
        </w:tc>
        <w:tc>
          <w:tcPr>
            <w:tcW w:w="5280" w:type="dxa"/>
            <w:vAlign w:val="bottom"/>
            <w:gridSpan w:val="8"/>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54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Balance Sheets (Unaudited)</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540" w:type="dxa"/>
            <w:vAlign w:val="bottom"/>
            <w:tcBorders>
              <w:right w:val="single" w:sz="8" w:color="0000EE"/>
            </w:tcBorders>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40" w:type="dxa"/>
            <w:vAlign w:val="bottom"/>
            <w:tcBorders>
              <w:bottom w:val="single" w:sz="8" w:color="0000FF"/>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FF"/>
                <w:w w:val="99"/>
              </w:rPr>
              <w:t>Condensed Consolidated Statements of Operations and Comprehensive Loss (Unaudited)</w:t>
            </w:r>
          </w:p>
        </w:tc>
        <w:tc>
          <w:tcPr>
            <w:tcW w:w="3100" w:type="dxa"/>
            <w:vAlign w:val="bottom"/>
            <w:gridSpan w:val="2"/>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54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Stockholders’ Equity (Unaudited)</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300" w:type="dxa"/>
            <w:vAlign w:val="bottom"/>
            <w:tcBorders>
              <w:top w:val="single" w:sz="8" w:color="0000FF"/>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Cash Flows (Unaudited)</w:t>
            </w:r>
          </w:p>
        </w:tc>
        <w:tc>
          <w:tcPr>
            <w:tcW w:w="4240" w:type="dxa"/>
            <w:vAlign w:val="bottom"/>
            <w:gridSpan w:val="3"/>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tcBorders>
              <w:right w:val="single" w:sz="8" w:color="0000EE"/>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54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Notes to Unaudited Condensed Consolidated Financial Statements</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tcBorders>
              <w:right w:val="single" w:sz="8" w:color="0000EE"/>
            </w:tcBorders>
            <w:gridSpan w:val="2"/>
            <w:shd w:val="clear" w:color="auto" w:fill="0000FF"/>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54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top w:val="single" w:sz="8" w:color="0000FF"/>
              <w:bottom w:val="single" w:sz="8" w:color="0000FF"/>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100" w:type="dxa"/>
            <w:vAlign w:val="bottom"/>
            <w:tcBorders>
              <w:top w:val="single" w:sz="8" w:color="0000FF"/>
            </w:tcBorders>
            <w:gridSpan w:val="5"/>
          </w:tcPr>
          <w:p>
            <w:pPr>
              <w:spacing w:after="0"/>
              <w:rPr>
                <w:sz w:val="17"/>
                <w:szCs w:val="17"/>
                <w:color w:val="auto"/>
              </w:rPr>
            </w:pPr>
          </w:p>
        </w:tc>
        <w:tc>
          <w:tcPr>
            <w:tcW w:w="3080" w:type="dxa"/>
            <w:vAlign w:val="bottom"/>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w w:val="99"/>
              </w:rPr>
              <w:t>Controls and Procedures</w:t>
            </w:r>
          </w:p>
        </w:tc>
        <w:tc>
          <w:tcPr>
            <w:tcW w:w="20" w:type="dxa"/>
            <w:vAlign w:val="bottom"/>
            <w:tcBorders>
              <w:bottom w:val="single" w:sz="8" w:color="0000EE"/>
            </w:tcBorders>
          </w:tcPr>
          <w:p>
            <w:pPr>
              <w:spacing w:after="0"/>
              <w:rPr>
                <w:sz w:val="17"/>
                <w:szCs w:val="17"/>
                <w:color w:val="auto"/>
              </w:rPr>
            </w:pPr>
          </w:p>
        </w:tc>
        <w:tc>
          <w:tcPr>
            <w:tcW w:w="7740" w:type="dxa"/>
            <w:vAlign w:val="bottom"/>
            <w:gridSpan w:val="13"/>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PART II.</w:t>
            </w:r>
          </w:p>
        </w:tc>
        <w:tc>
          <w:tcPr>
            <w:tcW w:w="954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top w:val="single" w:sz="8" w:color="0000FF"/>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8"/>
              </w:rPr>
              <w:t>Legal Proceedings</w:t>
            </w:r>
          </w:p>
        </w:tc>
        <w:tc>
          <w:tcPr>
            <w:tcW w:w="560" w:type="dxa"/>
            <w:vAlign w:val="bottom"/>
            <w:tcBorders>
              <w:top w:val="single" w:sz="8" w:color="0000FF"/>
            </w:tcBorders>
            <w:gridSpan w:val="3"/>
          </w:tcPr>
          <w:p>
            <w:pPr>
              <w:spacing w:after="0"/>
              <w:rPr>
                <w:sz w:val="17"/>
                <w:szCs w:val="17"/>
                <w:color w:val="auto"/>
              </w:rPr>
            </w:pPr>
          </w:p>
        </w:tc>
        <w:tc>
          <w:tcPr>
            <w:tcW w:w="7640" w:type="dxa"/>
            <w:vAlign w:val="bottom"/>
            <w:gridSpan w:val="12"/>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54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Risk Factors</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5200" w:type="dxa"/>
            <w:vAlign w:val="bottom"/>
            <w:gridSpan w:val="7"/>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54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4340" w:type="dxa"/>
            <w:vAlign w:val="bottom"/>
            <w:tcBorders>
              <w:top w:val="single" w:sz="8" w:color="0000FF"/>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5200" w:type="dxa"/>
            <w:vAlign w:val="bottom"/>
            <w:gridSpan w:val="7"/>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top w:val="single" w:sz="8" w:color="0000FF"/>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w w:val="99"/>
              </w:rPr>
              <w:t>Mine Safety Disclosures</w:t>
            </w:r>
          </w:p>
        </w:tc>
        <w:tc>
          <w:tcPr>
            <w:tcW w:w="540" w:type="dxa"/>
            <w:vAlign w:val="bottom"/>
            <w:tcBorders>
              <w:top w:val="single" w:sz="8" w:color="0000FF"/>
            </w:tcBorders>
            <w:gridSpan w:val="4"/>
          </w:tcPr>
          <w:p>
            <w:pPr>
              <w:spacing w:after="0"/>
              <w:rPr>
                <w:sz w:val="17"/>
                <w:szCs w:val="17"/>
                <w:color w:val="auto"/>
              </w:rPr>
            </w:pPr>
          </w:p>
        </w:tc>
        <w:tc>
          <w:tcPr>
            <w:tcW w:w="7220" w:type="dxa"/>
            <w:vAlign w:val="bottom"/>
            <w:gridSpan w:val="10"/>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8"/>
              </w:rPr>
              <w:t>Other Information</w:t>
            </w:r>
          </w:p>
        </w:tc>
        <w:tc>
          <w:tcPr>
            <w:tcW w:w="8220" w:type="dxa"/>
            <w:vAlign w:val="bottom"/>
            <w:gridSpan w:val="16"/>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954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Exhibits</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Borders>
              <w:top w:val="single" w:sz="8" w:color="0000FF"/>
            </w:tcBorders>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
        </w:trPr>
        <w:tc>
          <w:tcPr>
            <w:tcW w:w="780" w:type="dxa"/>
            <w:vAlign w:val="bottom"/>
            <w:tcBorders>
              <w:right w:val="single" w:sz="8" w:color="0000EE"/>
            </w:tcBorders>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that involve risks and uncertainties. We make such forward-looking statements pursuant to the safe harbor provisions of the Private Securities Litigation Reform Act of 1995 and other federal securities laws. All statements other than statements of historical facts contained in this Quarterly Report on Form 10-Q, including statements regarding our future results of operations and financial position, business strategy, development plans, planned preclinical studies and clinical trials, future results of clinical trials, expected research and development costs, regulatory strategy and approvals, timing and likelihood of success, as well as plans and objectives of management for future operations, are forward-looking statements.</w:t>
      </w:r>
    </w:p>
    <w:p>
      <w:pPr>
        <w:spacing w:after="0" w:line="79" w:lineRule="exact"/>
        <w:rPr>
          <w:sz w:val="20"/>
          <w:szCs w:val="20"/>
          <w:color w:val="auto"/>
        </w:rPr>
      </w:pPr>
    </w:p>
    <w:p>
      <w:pPr>
        <w:jc w:val="both"/>
        <w:ind w:right="360" w:firstLine="509"/>
        <w:spacing w:after="0" w:line="289" w:lineRule="auto"/>
        <w:rPr>
          <w:sz w:val="20"/>
          <w:szCs w:val="20"/>
          <w:color w:val="auto"/>
        </w:rPr>
      </w:pPr>
      <w:r>
        <w:rPr>
          <w:rFonts w:ascii="Times New Roman" w:cs="Times New Roman" w:eastAsia="Times New Roman" w:hAnsi="Times New Roman"/>
          <w:sz w:val="17"/>
          <w:szCs w:val="17"/>
          <w:color w:val="auto"/>
        </w:rPr>
        <w:t>In some cases, you can identify forward-looking statements by terms such as “may,” “will,” “should,” “would,” “expect,” “plan,” “anticipate,” “could,” “intend,” “target,” “project,” “contemplate,” “believe,” “estimate,” “predict,” “potential” or “continue” or the negative of these terms or other similar expressions. Forward-looking statements contained in this Quarterly Report on Form 10-Q include, but are not limited to, statements about:</w:t>
      </w:r>
    </w:p>
    <w:p>
      <w:pPr>
        <w:spacing w:after="0" w:line="50" w:lineRule="exact"/>
        <w:rPr>
          <w:sz w:val="20"/>
          <w:szCs w:val="20"/>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w:t>
      </w:r>
    </w:p>
    <w:p>
      <w:pPr>
        <w:spacing w:after="0" w:line="117" w:lineRule="exact"/>
        <w:rPr>
          <w:rFonts w:ascii="Times New Roman" w:cs="Times New Roman" w:eastAsia="Times New Roman" w:hAnsi="Times New Roman"/>
          <w:sz w:val="18"/>
          <w:szCs w:val="18"/>
          <w:color w:val="auto"/>
        </w:rPr>
      </w:pPr>
    </w:p>
    <w:p>
      <w:pPr>
        <w:ind w:left="900" w:right="140" w:hanging="383"/>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sufficiency of our existing cash, cash equivalents, and marketable securities to fund our future operating expenses and capital expenditure requirements;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to raise additional funding before we can expect to generate any revenues from product sales;</w:t>
      </w:r>
    </w:p>
    <w:p>
      <w:pPr>
        <w:spacing w:after="0" w:line="117" w:lineRule="exact"/>
        <w:rPr>
          <w:rFonts w:ascii="Times New Roman" w:cs="Times New Roman" w:eastAsia="Times New Roman" w:hAnsi="Times New Roman"/>
          <w:sz w:val="18"/>
          <w:szCs w:val="18"/>
          <w:color w:val="auto"/>
        </w:rPr>
      </w:pPr>
    </w:p>
    <w:p>
      <w:pPr>
        <w:ind w:left="900" w:right="320" w:hanging="383"/>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additional funding for our operations, when needed, including funding necessary to complete further development and commercialization of our product candidates, if approved;</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our estimates regarding expenses, future revenue, capital requirements and needs for additional financing;</w:t>
      </w:r>
    </w:p>
    <w:p>
      <w:pPr>
        <w:spacing w:after="0" w:line="117" w:lineRule="exact"/>
        <w:rPr>
          <w:rFonts w:ascii="Times New Roman" w:cs="Times New Roman" w:eastAsia="Times New Roman" w:hAnsi="Times New Roman"/>
          <w:sz w:val="18"/>
          <w:szCs w:val="18"/>
          <w:color w:val="auto"/>
        </w:rPr>
      </w:pPr>
    </w:p>
    <w:p>
      <w:pPr>
        <w:ind w:left="900" w:right="400" w:hanging="383"/>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use of our existing cash, cash equivalents, and marketable securities and any proceeds from the ATM Program (as defined below);</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strategic plans for our business and product candidates;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the market opportunity for our product candidates and our ability to maximize those opportunities;</w:t>
      </w:r>
    </w:p>
    <w:p>
      <w:pPr>
        <w:spacing w:after="0" w:line="117" w:lineRule="exact"/>
        <w:rPr>
          <w:rFonts w:ascii="Times New Roman" w:cs="Times New Roman" w:eastAsia="Times New Roman" w:hAnsi="Times New Roman"/>
          <w:sz w:val="18"/>
          <w:szCs w:val="18"/>
          <w:color w:val="auto"/>
        </w:rPr>
      </w:pPr>
    </w:p>
    <w:p>
      <w:pPr>
        <w:ind w:left="900" w:right="20" w:hanging="383"/>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timing, progress and results of our research and development programs, preclinical studies, clinical trials and investigational new drug applications, or IND, and other regulatory submissions;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beneficial characteristics, safety, efficacy and therapeutic effects of our product candidates;</w:t>
      </w:r>
    </w:p>
    <w:p>
      <w:pPr>
        <w:spacing w:after="0" w:line="117" w:lineRule="exact"/>
        <w:rPr>
          <w:rFonts w:ascii="Times New Roman" w:cs="Times New Roman" w:eastAsia="Times New Roman" w:hAnsi="Times New Roman"/>
          <w:sz w:val="18"/>
          <w:szCs w:val="18"/>
          <w:color w:val="auto"/>
        </w:rPr>
      </w:pPr>
    </w:p>
    <w:p>
      <w:pPr>
        <w:ind w:left="900" w:right="120" w:hanging="383"/>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of the number of patients for each of our programs including patients expected to have certain p53 mutations and the number of patients that will enroll in our clinical trials;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clinical trials to demonstrate safety and efficacy of our product candidates, and other favorable results;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relating to the clinical development of our product candidates, including the disease areas to be evaluated;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progress and focus of our clinical trials, and the reporting of data from those trials;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regulatory approval of our product candidates;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relating to commercializing our product candidates, if approved;</w:t>
      </w:r>
    </w:p>
    <w:p>
      <w:pPr>
        <w:spacing w:after="0" w:line="117" w:lineRule="exact"/>
        <w:rPr>
          <w:rFonts w:ascii="Times New Roman" w:cs="Times New Roman" w:eastAsia="Times New Roman" w:hAnsi="Times New Roman"/>
          <w:sz w:val="18"/>
          <w:szCs w:val="18"/>
          <w:color w:val="auto"/>
        </w:rPr>
      </w:pPr>
    </w:p>
    <w:p>
      <w:pPr>
        <w:ind w:left="900" w:right="180" w:hanging="383"/>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benefits of our existing and any potential future strategic collaborations with third parties and our ability to attract collaborators with development, regulatory and commercialization expertise;</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competing therapies that are or may become available;</w:t>
      </w:r>
    </w:p>
    <w:p>
      <w:pPr>
        <w:spacing w:after="0" w:line="117" w:lineRule="exact"/>
        <w:rPr>
          <w:rFonts w:ascii="Times New Roman" w:cs="Times New Roman" w:eastAsia="Times New Roman" w:hAnsi="Times New Roman"/>
          <w:sz w:val="18"/>
          <w:szCs w:val="18"/>
          <w:color w:val="auto"/>
        </w:rPr>
      </w:pPr>
    </w:p>
    <w:p>
      <w:pPr>
        <w:ind w:left="900" w:right="40" w:hanging="383"/>
        <w:spacing w:after="0" w:line="266"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or likelihood of regulatory filings and approvals, including our expectation to seek accelerated reviews or special designations, such as breakthrough therapy and orphan drug designation, for our product candidates, including our intention to seek accelerated approval for rezatapopt, our lead product candidate, for a tumor-agnostic indication;</w:t>
      </w:r>
    </w:p>
    <w:p>
      <w:pPr>
        <w:spacing w:after="0" w:line="67" w:lineRule="exact"/>
        <w:rPr>
          <w:rFonts w:ascii="Times New Roman" w:cs="Times New Roman" w:eastAsia="Times New Roman" w:hAnsi="Times New Roman"/>
          <w:sz w:val="18"/>
          <w:szCs w:val="18"/>
          <w:color w:val="auto"/>
        </w:rPr>
      </w:pPr>
    </w:p>
    <w:p>
      <w:pPr>
        <w:ind w:left="900" w:right="260" w:hanging="383"/>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relating to the further development and manufacturing of our product candidates, including for additional indications that we may pursue;</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regulations and regulatory developments in the United States and other jurisdictions;</w:t>
      </w:r>
    </w:p>
    <w:p>
      <w:pPr>
        <w:spacing w:after="0" w:line="1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22" w:right="379" w:bottom="1440" w:gutter="0" w:footer="0" w:header="0"/>
        </w:sectPr>
      </w:pPr>
    </w:p>
    <w:bookmarkStart w:id="3" w:name="page4"/>
    <w:bookmarkEnd w:id="3"/>
    <w:p>
      <w:pPr>
        <w:ind w:left="900" w:hanging="383"/>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and ability to obtain or protect intellectual property rights, including extensions of existing patent terms where available;</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rely on third parties to conduct and support preclinical and clinical development;</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the continued service of our key personnel and to identify, hire and then retain additional qualified personnel; and</w:t>
      </w:r>
    </w:p>
    <w:p>
      <w:pPr>
        <w:spacing w:after="0" w:line="117" w:lineRule="exact"/>
        <w:rPr>
          <w:rFonts w:ascii="Times New Roman" w:cs="Times New Roman" w:eastAsia="Times New Roman" w:hAnsi="Times New Roman"/>
          <w:sz w:val="18"/>
          <w:szCs w:val="18"/>
          <w:color w:val="auto"/>
        </w:rPr>
      </w:pPr>
    </w:p>
    <w:p>
      <w:pPr>
        <w:ind w:left="900" w:hanging="383"/>
        <w:spacing w:after="0" w:line="261"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geopolitical tensions, such as the Ukraine-Russia war and the conflict in the Middle East, the impact of other disruptions resulting from public health epidemics, macroeconomic events such as future changes in trade regulations, tariff structures, global supply chain challenges, elevated inflation and interest rates and monetary policy changes, instability in the global banking system, or other related disruptions on our business and the execution of our clinical trials.</w:t>
      </w:r>
    </w:p>
    <w:p>
      <w:pPr>
        <w:spacing w:after="0" w:line="72" w:lineRule="exact"/>
        <w:rPr>
          <w:sz w:val="20"/>
          <w:szCs w:val="20"/>
          <w:color w:val="auto"/>
        </w:rPr>
      </w:pPr>
    </w:p>
    <w:p>
      <w:pPr>
        <w:ind w:right="140" w:firstLine="509"/>
        <w:spacing w:after="0" w:line="253" w:lineRule="auto"/>
        <w:rPr>
          <w:sz w:val="20"/>
          <w:szCs w:val="20"/>
          <w:color w:val="auto"/>
        </w:rPr>
      </w:pPr>
      <w:r>
        <w:rPr>
          <w:rFonts w:ascii="Times New Roman" w:cs="Times New Roman" w:eastAsia="Times New Roman" w:hAnsi="Times New Roman"/>
          <w:sz w:val="18"/>
          <w:szCs w:val="18"/>
          <w:color w:val="auto"/>
        </w:rPr>
        <w:t>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 performance or development. These forward-looking statements speak only as of the date of this Quarterly Report on Form 10-Q and are subject to a number of risks, uncertainties and assumptions described in the section titled “Item 1A. Risk Factors” and elsewhere in our Annual Report on Form 10-K for the year ended December 31, 2024, filed with the United States Securities and Exchange Commission on March 3, 2025, as well as in this Quarterly Report on Form 10-Q.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whether as a result of any new information, future events or otherwise.</w:t>
      </w:r>
    </w:p>
    <w:p>
      <w:pPr>
        <w:spacing w:after="0" w:line="86"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1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Condensed Consolidated Financial Statements (Unaudited).</w:t>
      </w:r>
    </w:p>
    <w:p>
      <w:pPr>
        <w:spacing w:after="0" w:line="117"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9"/>
        </w:trPr>
        <w:tc>
          <w:tcPr>
            <w:tcW w:w="7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tcPr>
          <w:p>
            <w:pPr>
              <w:jc w:val="center"/>
              <w:ind w:right="192"/>
              <w:spacing w:after="0" w:line="149"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7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51,341</w:t>
            </w:r>
          </w:p>
        </w:tc>
        <w:tc>
          <w:tcPr>
            <w:tcW w:w="18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40,876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Marketable securities, current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109,047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128,578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3,111</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6,204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5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163,499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175,658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Marketable securities, noncurrent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1,061</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7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170,608</w:t>
            </w:r>
          </w:p>
        </w:tc>
        <w:tc>
          <w:tcPr>
            <w:tcW w:w="180" w:type="dxa"/>
            <w:vAlign w:val="bottom"/>
            <w:shd w:val="clear" w:color="auto" w:fill="CFF0FC"/>
          </w:tcPr>
          <w:p>
            <w:pPr>
              <w:spacing w:after="0"/>
              <w:rPr>
                <w:sz w:val="21"/>
                <w:szCs w:val="21"/>
                <w:color w:val="auto"/>
              </w:rPr>
            </w:pP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191,288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750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2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3,593</w:t>
            </w:r>
          </w:p>
        </w:tc>
        <w:tc>
          <w:tcPr>
            <w:tcW w:w="18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Accrued expenses</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5,802</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7,439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5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9,759</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14,370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5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10,501</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15,208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500" w:type="dxa"/>
            <w:vAlign w:val="bottom"/>
            <w:shd w:val="clear" w:color="auto" w:fill="CFF0FC"/>
          </w:tcPr>
          <w:p>
            <w:pPr>
              <w:ind w:left="140"/>
              <w:spacing w:after="0" w:line="198" w:lineRule="exact"/>
              <w:rPr>
                <w:sz w:val="20"/>
                <w:szCs w:val="20"/>
                <w:color w:val="auto"/>
              </w:rPr>
            </w:pPr>
            <w:r>
              <w:rPr>
                <w:rFonts w:ascii="Times New Roman" w:cs="Times New Roman" w:eastAsia="Times New Roman" w:hAnsi="Times New Roman"/>
                <w:sz w:val="18"/>
                <w:szCs w:val="18"/>
                <w:color w:val="auto"/>
              </w:rPr>
              <w:t>Preferred stock, $0.00001 par value, 5,000,000 shares authorized at March 31, 2025 and December</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5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31, 2024. No shares issued or outstanding at March 31, 2025 and December 31, 2024.</w:t>
            </w: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5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750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Common stock, $0.00001 par value, 1,000,000,000 shares authorized; 51,954,135 and</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51,935,134 shares issued and outstanding at March 31, 2025 and December 31, 2024, respectively.</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5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546,171</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544,653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(386,148)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(368,712)</w:t>
            </w:r>
          </w:p>
        </w:tc>
        <w:tc>
          <w:tcPr>
            <w:tcW w:w="0" w:type="dxa"/>
            <w:vAlign w:val="bottom"/>
          </w:tcPr>
          <w:p>
            <w:pPr>
              <w:spacing w:after="0"/>
              <w:rPr>
                <w:sz w:val="1"/>
                <w:szCs w:val="1"/>
                <w:color w:val="auto"/>
              </w:rPr>
            </w:pPr>
          </w:p>
        </w:tc>
      </w:tr>
      <w:tr>
        <w:trPr>
          <w:trHeight w:val="216"/>
        </w:trPr>
        <w:tc>
          <w:tcPr>
            <w:tcW w:w="75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5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160,107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176,080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170,608</w:t>
            </w:r>
          </w:p>
        </w:tc>
        <w:tc>
          <w:tcPr>
            <w:tcW w:w="18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191,288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-3402330</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-3402330</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-2562860</wp:posOffset>
            </wp:positionV>
            <wp:extent cx="685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-2545080</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-2562860</wp:posOffset>
            </wp:positionV>
            <wp:extent cx="685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-2545080</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-1422400</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-1422400</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-316865</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-316865</wp:posOffset>
            </wp:positionV>
            <wp:extent cx="685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-24765</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-8255</wp:posOffset>
            </wp:positionV>
            <wp:extent cx="685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0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160" w:type="dxa"/>
            <w:vAlign w:val="bottom"/>
            <w:gridSpan w:val="6"/>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60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10"/>
        </w:trPr>
        <w:tc>
          <w:tcPr>
            <w:tcW w:w="6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6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17,441</w:t>
            </w:r>
          </w:p>
        </w:tc>
        <w:tc>
          <w:tcPr>
            <w:tcW w:w="180" w:type="dxa"/>
            <w:vAlign w:val="bottom"/>
          </w:tcPr>
          <w:p>
            <w:pPr>
              <w:spacing w:after="0"/>
              <w:rPr>
                <w:sz w:val="18"/>
                <w:szCs w:val="18"/>
                <w:color w:val="auto"/>
              </w:rPr>
            </w:pP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13,186</w:t>
            </w:r>
          </w:p>
        </w:tc>
        <w:tc>
          <w:tcPr>
            <w:tcW w:w="100" w:type="dxa"/>
            <w:vAlign w:val="bottom"/>
          </w:tcPr>
          <w:p>
            <w:pPr>
              <w:spacing w:after="0"/>
              <w:rPr>
                <w:sz w:val="18"/>
                <w:szCs w:val="18"/>
                <w:color w:val="auto"/>
              </w:rPr>
            </w:pPr>
          </w:p>
        </w:tc>
      </w:tr>
      <w:tr>
        <w:trPr>
          <w:trHeight w:val="216"/>
        </w:trPr>
        <w:tc>
          <w:tcPr>
            <w:tcW w:w="608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4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4,123</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5,035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21,564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18,221</w:t>
            </w:r>
          </w:p>
        </w:tc>
        <w:tc>
          <w:tcPr>
            <w:tcW w:w="100" w:type="dxa"/>
            <w:vAlign w:val="bottom"/>
          </w:tcPr>
          <w:p>
            <w:pPr>
              <w:spacing w:after="0"/>
              <w:rPr>
                <w:sz w:val="18"/>
                <w:szCs w:val="18"/>
                <w:color w:val="auto"/>
              </w:rPr>
            </w:pPr>
          </w:p>
        </w:tc>
      </w:tr>
      <w:tr>
        <w:trPr>
          <w:trHeight w:val="210"/>
        </w:trPr>
        <w:tc>
          <w:tcPr>
            <w:tcW w:w="60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Loss from operations</w:t>
            </w:r>
          </w:p>
        </w:tc>
        <w:tc>
          <w:tcPr>
            <w:tcW w:w="16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(21,564)</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(18,221)</w:t>
            </w: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Interest income, net</w:t>
            </w:r>
          </w:p>
        </w:tc>
        <w:tc>
          <w:tcPr>
            <w:tcW w:w="16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1,935</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2,952</w:t>
            </w:r>
          </w:p>
        </w:tc>
        <w:tc>
          <w:tcPr>
            <w:tcW w:w="100" w:type="dxa"/>
            <w:vAlign w:val="bottom"/>
            <w:shd w:val="clear" w:color="auto" w:fill="CFF0FC"/>
          </w:tcPr>
          <w:p>
            <w:pPr>
              <w:spacing w:after="0"/>
              <w:rPr>
                <w:sz w:val="18"/>
                <w:szCs w:val="18"/>
                <w:color w:val="auto"/>
              </w:rPr>
            </w:pPr>
          </w:p>
        </w:tc>
      </w:tr>
      <w:tr>
        <w:trPr>
          <w:trHeight w:val="216"/>
        </w:trPr>
        <w:tc>
          <w:tcPr>
            <w:tcW w:w="6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expense, net</w:t>
            </w:r>
          </w:p>
        </w:tc>
        <w:tc>
          <w:tcPr>
            <w:tcW w:w="1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r>
      <w:tr>
        <w:trPr>
          <w:trHeight w:val="210"/>
        </w:trPr>
        <w:tc>
          <w:tcPr>
            <w:tcW w:w="608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other income</w:t>
            </w:r>
          </w:p>
        </w:tc>
        <w:tc>
          <w:tcPr>
            <w:tcW w:w="164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top w:val="single" w:sz="8" w:color="auto"/>
              <w:bottom w:val="single" w:sz="8" w:color="auto"/>
            </w:tcBorders>
            <w:shd w:val="clear" w:color="auto" w:fill="CFF0FC"/>
          </w:tcPr>
          <w:p>
            <w:pPr>
              <w:spacing w:after="0"/>
              <w:rPr>
                <w:sz w:val="18"/>
                <w:szCs w:val="18"/>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1,931</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top w:val="single" w:sz="8" w:color="auto"/>
              <w:bottom w:val="single" w:sz="8" w:color="auto"/>
            </w:tcBorders>
            <w:shd w:val="clear" w:color="auto" w:fill="CFF0FC"/>
          </w:tcPr>
          <w:p>
            <w:pPr>
              <w:spacing w:after="0"/>
              <w:rPr>
                <w:sz w:val="18"/>
                <w:szCs w:val="18"/>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 before (benefit) provision for income taxes</w:t>
            </w:r>
          </w:p>
        </w:tc>
        <w:tc>
          <w:tcPr>
            <w:tcW w:w="1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(19,633)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(15,270)</w:t>
            </w:r>
          </w:p>
        </w:tc>
      </w:tr>
      <w:tr>
        <w:trPr>
          <w:trHeight w:val="216"/>
        </w:trPr>
        <w:tc>
          <w:tcPr>
            <w:tcW w:w="60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(Benefit) provision for income taxes</w:t>
            </w:r>
          </w:p>
        </w:tc>
        <w:tc>
          <w:tcPr>
            <w:tcW w:w="16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(2,197)</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080" w:type="dxa"/>
            <w:vAlign w:val="bottom"/>
            <w:shd w:val="clear" w:color="auto" w:fill="CFF0FC"/>
          </w:tcPr>
          <w:p>
            <w:pPr>
              <w:spacing w:after="0" w:line="20" w:lineRule="exact"/>
              <w:rPr>
                <w:sz w:val="1"/>
                <w:szCs w:val="1"/>
                <w:color w:val="auto"/>
              </w:rPr>
            </w:pPr>
          </w:p>
        </w:tc>
        <w:tc>
          <w:tcPr>
            <w:tcW w:w="164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6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1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(17,436)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(15,270)</w:t>
            </w:r>
          </w:p>
        </w:tc>
      </w:tr>
      <w:tr>
        <w:trPr>
          <w:trHeight w:val="216"/>
        </w:trPr>
        <w:tc>
          <w:tcPr>
            <w:tcW w:w="60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Unrealized loss on available for sale investments, net of tax</w:t>
            </w:r>
          </w:p>
        </w:tc>
        <w:tc>
          <w:tcPr>
            <w:tcW w:w="16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(319)</w:t>
            </w:r>
          </w:p>
        </w:tc>
      </w:tr>
      <w:tr>
        <w:trPr>
          <w:trHeight w:val="216"/>
        </w:trPr>
        <w:tc>
          <w:tcPr>
            <w:tcW w:w="6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 gain (loss)</w:t>
            </w:r>
          </w:p>
        </w:tc>
        <w:tc>
          <w:tcPr>
            <w:tcW w:w="1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w:t>
            </w:r>
          </w:p>
        </w:tc>
      </w:tr>
      <w:tr>
        <w:trPr>
          <w:trHeight w:val="20"/>
        </w:trPr>
        <w:tc>
          <w:tcPr>
            <w:tcW w:w="60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60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other comprehensive loss</w:t>
            </w:r>
          </w:p>
        </w:tc>
        <w:tc>
          <w:tcPr>
            <w:tcW w:w="16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(353)</w:t>
            </w:r>
          </w:p>
        </w:tc>
      </w:tr>
      <w:tr>
        <w:trPr>
          <w:trHeight w:val="20"/>
        </w:trPr>
        <w:tc>
          <w:tcPr>
            <w:tcW w:w="6080" w:type="dxa"/>
            <w:vAlign w:val="bottom"/>
            <w:shd w:val="clear" w:color="auto" w:fill="CFF0FC"/>
          </w:tcPr>
          <w:p>
            <w:pPr>
              <w:spacing w:after="0" w:line="20" w:lineRule="exact"/>
              <w:rPr>
                <w:sz w:val="1"/>
                <w:szCs w:val="1"/>
                <w:color w:val="auto"/>
              </w:rPr>
            </w:pPr>
          </w:p>
        </w:tc>
        <w:tc>
          <w:tcPr>
            <w:tcW w:w="164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6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comprehensive loss</w:t>
            </w:r>
          </w:p>
        </w:tc>
        <w:tc>
          <w:tcPr>
            <w:tcW w:w="2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(17,491)</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(15,623)</w:t>
            </w:r>
          </w:p>
        </w:tc>
      </w:tr>
      <w:tr>
        <w:trPr>
          <w:trHeight w:val="20"/>
        </w:trPr>
        <w:tc>
          <w:tcPr>
            <w:tcW w:w="60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080" w:type="dxa"/>
            <w:vAlign w:val="bottom"/>
            <w:shd w:val="clear" w:color="auto" w:fill="CFF0FC"/>
          </w:tcPr>
          <w:p>
            <w:pPr>
              <w:spacing w:after="0"/>
              <w:rPr>
                <w:sz w:val="17"/>
                <w:szCs w:val="17"/>
                <w:color w:val="auto"/>
              </w:rPr>
            </w:pPr>
          </w:p>
        </w:tc>
        <w:tc>
          <w:tcPr>
            <w:tcW w:w="16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6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 per share -- basic and diluted</w:t>
            </w:r>
          </w:p>
        </w:tc>
        <w:tc>
          <w:tcPr>
            <w:tcW w:w="2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(0.34)</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(0.30)</w:t>
            </w:r>
          </w:p>
        </w:tc>
      </w:tr>
      <w:tr>
        <w:trPr>
          <w:trHeight w:val="20"/>
        </w:trPr>
        <w:tc>
          <w:tcPr>
            <w:tcW w:w="60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6080" w:type="dxa"/>
            <w:vAlign w:val="bottom"/>
            <w:tcBorders>
              <w:bottom w:val="single" w:sz="8" w:color="CFF0FC"/>
            </w:tcBorders>
            <w:shd w:val="clear" w:color="auto" w:fill="CFF0FC"/>
          </w:tcPr>
          <w:p>
            <w:pPr>
              <w:ind w:left="140"/>
              <w:spacing w:after="0" w:line="196" w:lineRule="exact"/>
              <w:rPr>
                <w:sz w:val="20"/>
                <w:szCs w:val="20"/>
                <w:color w:val="auto"/>
              </w:rPr>
            </w:pPr>
            <w:r>
              <w:rPr>
                <w:rFonts w:ascii="Times New Roman" w:cs="Times New Roman" w:eastAsia="Times New Roman" w:hAnsi="Times New Roman"/>
                <w:sz w:val="18"/>
                <w:szCs w:val="18"/>
                <w:color w:val="auto"/>
              </w:rPr>
              <w:t>Weighted-average common shares outstanding</w:t>
            </w:r>
          </w:p>
        </w:tc>
        <w:tc>
          <w:tcPr>
            <w:tcW w:w="164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51,952,062</w:t>
            </w:r>
          </w:p>
        </w:tc>
        <w:tc>
          <w:tcPr>
            <w:tcW w:w="18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51,445,862</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-2331085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-2331085</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-1482090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-1482090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-1199515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-1199515</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-633730</wp:posOffset>
            </wp:positionV>
            <wp:extent cx="685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-633730</wp:posOffset>
            </wp:positionV>
            <wp:extent cx="685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-24765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35"/>
        </w:trPr>
        <w:tc>
          <w:tcPr>
            <w:tcW w:w="4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gridSpan w:val="3"/>
            <w:vMerge w:val="restart"/>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15"/>
        </w:trPr>
        <w:tc>
          <w:tcPr>
            <w:tcW w:w="4620" w:type="dxa"/>
            <w:vAlign w:val="bottom"/>
            <w:tcBorders>
              <w:right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462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2"/>
          </w:tcPr>
          <w:p>
            <w:pPr>
              <w:jc w:val="center"/>
              <w:ind w:right="360"/>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2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840" w:type="dxa"/>
            <w:vAlign w:val="bottom"/>
            <w:gridSpan w:val="3"/>
            <w:vMerge w:val="restart"/>
          </w:tcPr>
          <w:p>
            <w:pPr>
              <w:jc w:val="right"/>
              <w:ind w:right="348"/>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Additional</w:t>
            </w:r>
          </w:p>
        </w:tc>
        <w:tc>
          <w:tcPr>
            <w:tcW w:w="120" w:type="dxa"/>
            <w:vAlign w:val="bottom"/>
          </w:tcPr>
          <w:p>
            <w:pPr>
              <w:spacing w:after="0"/>
              <w:rPr>
                <w:sz w:val="11"/>
                <w:szCs w:val="11"/>
                <w:color w:val="auto"/>
              </w:rPr>
            </w:pPr>
          </w:p>
        </w:tc>
        <w:tc>
          <w:tcPr>
            <w:tcW w:w="1000" w:type="dxa"/>
            <w:vAlign w:val="bottom"/>
            <w:gridSpan w:val="3"/>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8"/>
              </w:rPr>
              <w:t>Comprehensiv</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tcPr>
          <w:p>
            <w:pPr>
              <w:jc w:val="center"/>
              <w:ind w:right="300"/>
              <w:spacing w:after="0" w:line="135"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42"/>
        </w:trPr>
        <w:tc>
          <w:tcPr>
            <w:tcW w:w="46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tcBorders>
              <w:bottom w:val="single" w:sz="8" w:color="auto"/>
            </w:tcBorders>
            <w:gridSpan w:val="3"/>
            <w:vMerge w:val="continue"/>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3"/>
                <w:szCs w:val="13"/>
                <w:b w:val="1"/>
                <w:bCs w:val="1"/>
                <w:color w:val="auto"/>
                <w:w w:val="93"/>
              </w:rPr>
              <w:t>Paid-in</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w w:val="74"/>
              </w:rPr>
              <w:t>e</w:t>
            </w:r>
          </w:p>
        </w:tc>
        <w:tc>
          <w:tcPr>
            <w:tcW w:w="80" w:type="dxa"/>
            <w:vAlign w:val="bottom"/>
          </w:tcPr>
          <w:p>
            <w:pPr>
              <w:spacing w:after="0"/>
              <w:rPr>
                <w:sz w:val="12"/>
                <w:szCs w:val="12"/>
                <w:color w:val="auto"/>
              </w:rPr>
            </w:pPr>
          </w:p>
        </w:tc>
        <w:tc>
          <w:tcPr>
            <w:tcW w:w="1000" w:type="dxa"/>
            <w:vAlign w:val="bottom"/>
            <w:gridSpan w:val="3"/>
          </w:tcPr>
          <w:p>
            <w:pPr>
              <w:jc w:val="center"/>
              <w:ind w:right="160"/>
              <w:spacing w:after="0" w:line="142" w:lineRule="exact"/>
              <w:rPr>
                <w:sz w:val="20"/>
                <w:szCs w:val="20"/>
                <w:color w:val="auto"/>
              </w:rPr>
            </w:pPr>
            <w:r>
              <w:rPr>
                <w:rFonts w:ascii="Times New Roman" w:cs="Times New Roman" w:eastAsia="Times New Roman" w:hAnsi="Times New Roman"/>
                <w:sz w:val="13"/>
                <w:szCs w:val="13"/>
                <w:b w:val="1"/>
                <w:bCs w:val="1"/>
                <w:color w:val="auto"/>
                <w:w w:val="97"/>
              </w:rPr>
              <w:t>Accumulated</w:t>
            </w:r>
          </w:p>
        </w:tc>
        <w:tc>
          <w:tcPr>
            <w:tcW w:w="80" w:type="dxa"/>
            <w:vAlign w:val="bottom"/>
          </w:tcPr>
          <w:p>
            <w:pPr>
              <w:spacing w:after="0"/>
              <w:rPr>
                <w:sz w:val="12"/>
                <w:szCs w:val="12"/>
                <w:color w:val="auto"/>
              </w:rPr>
            </w:pPr>
          </w:p>
        </w:tc>
        <w:tc>
          <w:tcPr>
            <w:tcW w:w="960" w:type="dxa"/>
            <w:vAlign w:val="bottom"/>
            <w:gridSpan w:val="3"/>
          </w:tcPr>
          <w:p>
            <w:pPr>
              <w:jc w:val="center"/>
              <w:ind w:right="120"/>
              <w:spacing w:after="0" w:line="142" w:lineRule="exact"/>
              <w:rPr>
                <w:sz w:val="20"/>
                <w:szCs w:val="20"/>
                <w:color w:val="auto"/>
              </w:rPr>
            </w:pPr>
            <w:r>
              <w:rPr>
                <w:rFonts w:ascii="Times New Roman" w:cs="Times New Roman" w:eastAsia="Times New Roman" w:hAnsi="Times New Roman"/>
                <w:sz w:val="13"/>
                <w:szCs w:val="13"/>
                <w:b w:val="1"/>
                <w:bCs w:val="1"/>
                <w:color w:val="auto"/>
                <w:w w:val="94"/>
              </w:rPr>
              <w:t>Stockholders'</w:t>
            </w:r>
          </w:p>
        </w:tc>
        <w:tc>
          <w:tcPr>
            <w:tcW w:w="0" w:type="dxa"/>
            <w:vAlign w:val="bottom"/>
          </w:tcPr>
          <w:p>
            <w:pPr>
              <w:spacing w:after="0"/>
              <w:rPr>
                <w:sz w:val="1"/>
                <w:szCs w:val="1"/>
                <w:color w:val="auto"/>
              </w:rPr>
            </w:pPr>
          </w:p>
        </w:tc>
      </w:tr>
      <w:tr>
        <w:trPr>
          <w:trHeight w:val="129"/>
        </w:trPr>
        <w:tc>
          <w:tcPr>
            <w:tcW w:w="462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Borders>
              <w:bottom w:val="single" w:sz="8" w:color="auto"/>
            </w:tcBorders>
          </w:tcPr>
          <w:p>
            <w:pPr>
              <w:jc w:val="right"/>
              <w:ind w:right="243"/>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240" w:type="dxa"/>
            <w:vAlign w:val="bottom"/>
          </w:tcPr>
          <w:p>
            <w:pPr>
              <w:spacing w:after="0"/>
              <w:rPr>
                <w:sz w:val="11"/>
                <w:szCs w:val="11"/>
                <w:color w:val="auto"/>
              </w:rPr>
            </w:pPr>
          </w:p>
        </w:tc>
        <w:tc>
          <w:tcPr>
            <w:tcW w:w="6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Amount</w:t>
            </w:r>
          </w:p>
        </w:tc>
        <w:tc>
          <w:tcPr>
            <w:tcW w:w="20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center"/>
              <w:ind w:right="44"/>
              <w:spacing w:after="0" w:line="129" w:lineRule="exact"/>
              <w:rPr>
                <w:sz w:val="20"/>
                <w:szCs w:val="20"/>
                <w:color w:val="auto"/>
              </w:rPr>
            </w:pPr>
            <w:r>
              <w:rPr>
                <w:rFonts w:ascii="Times New Roman" w:cs="Times New Roman" w:eastAsia="Times New Roman" w:hAnsi="Times New Roman"/>
                <w:sz w:val="13"/>
                <w:szCs w:val="13"/>
                <w:b w:val="1"/>
                <w:bCs w:val="1"/>
                <w:color w:val="auto"/>
                <w:w w:val="97"/>
              </w:rPr>
              <w:t>Capital</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Borders>
              <w:bottom w:val="single" w:sz="8" w:color="auto"/>
            </w:tcBorders>
            <w:gridSpan w:val="2"/>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6"/>
              </w:rPr>
              <w:t>Income (Loss)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center"/>
              <w:ind w:right="101"/>
              <w:spacing w:after="0" w:line="129" w:lineRule="exact"/>
              <w:rPr>
                <w:sz w:val="20"/>
                <w:szCs w:val="20"/>
                <w:color w:val="auto"/>
              </w:rPr>
            </w:pPr>
            <w:r>
              <w:rPr>
                <w:rFonts w:ascii="Times New Roman" w:cs="Times New Roman" w:eastAsia="Times New Roman" w:hAnsi="Times New Roman"/>
                <w:sz w:val="13"/>
                <w:szCs w:val="13"/>
                <w:b w:val="1"/>
                <w:bCs w:val="1"/>
                <w:color w:val="auto"/>
                <w:w w:val="97"/>
              </w:rPr>
              <w:t>Deficit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Borders>
              <w:bottom w:val="single" w:sz="8" w:color="auto"/>
            </w:tcBorders>
            <w:gridSpan w:val="2"/>
          </w:tcPr>
          <w:p>
            <w:pPr>
              <w:spacing w:after="0" w:line="129" w:lineRule="exact"/>
              <w:rPr>
                <w:sz w:val="20"/>
                <w:szCs w:val="20"/>
                <w:color w:val="auto"/>
              </w:rPr>
            </w:pPr>
            <w:r>
              <w:rPr>
                <w:rFonts w:ascii="Times New Roman" w:cs="Times New Roman" w:eastAsia="Times New Roman" w:hAnsi="Times New Roman"/>
                <w:sz w:val="13"/>
                <w:szCs w:val="13"/>
                <w:b w:val="1"/>
                <w:bCs w:val="1"/>
                <w:color w:val="auto"/>
                <w:w w:val="97"/>
              </w:rPr>
              <w:t>Equity (Deficit)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4620" w:type="dxa"/>
            <w:vAlign w:val="bottom"/>
            <w:tcBorders>
              <w:right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at December 31, 2023</w:t>
            </w: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51,445,862</w:t>
            </w:r>
          </w:p>
        </w:tc>
        <w:tc>
          <w:tcPr>
            <w:tcW w:w="880" w:type="dxa"/>
            <w:vAlign w:val="bottom"/>
            <w:gridSpan w:val="2"/>
            <w:shd w:val="clear" w:color="auto" w:fill="CFF0FC"/>
          </w:tcPr>
          <w:p>
            <w:pPr>
              <w:jc w:val="right"/>
              <w:ind w:right="488"/>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535,468</w:t>
            </w:r>
          </w:p>
        </w:tc>
        <w:tc>
          <w:tcPr>
            <w:tcW w:w="100" w:type="dxa"/>
            <w:vAlign w:val="bottom"/>
            <w:shd w:val="clear" w:color="auto" w:fill="CFF0FC"/>
          </w:tcPr>
          <w:p>
            <w:pPr>
              <w:spacing w:after="0"/>
              <w:rPr>
                <w:sz w:val="17"/>
                <w:szCs w:val="17"/>
                <w:color w:val="auto"/>
              </w:rPr>
            </w:pPr>
          </w:p>
        </w:tc>
        <w:tc>
          <w:tcPr>
            <w:tcW w:w="280" w:type="dxa"/>
            <w:vAlign w:val="bottom"/>
            <w:gridSpan w:val="2"/>
            <w:shd w:val="clear" w:color="auto" w:fill="CFF0FC"/>
          </w:tcPr>
          <w:p>
            <w:pPr>
              <w:jc w:val="right"/>
              <w:ind w:right="13"/>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224</w:t>
            </w:r>
          </w:p>
        </w:tc>
        <w:tc>
          <w:tcPr>
            <w:tcW w:w="140" w:type="dxa"/>
            <w:vAlign w:val="bottom"/>
            <w:shd w:val="clear" w:color="auto" w:fill="CFF0FC"/>
          </w:tcPr>
          <w:p>
            <w:pPr>
              <w:spacing w:after="0"/>
              <w:rPr>
                <w:sz w:val="17"/>
                <w:szCs w:val="17"/>
                <w:color w:val="auto"/>
              </w:rPr>
            </w:pPr>
          </w:p>
        </w:tc>
        <w:tc>
          <w:tcPr>
            <w:tcW w:w="240" w:type="dxa"/>
            <w:vAlign w:val="bottom"/>
            <w:gridSpan w:val="2"/>
            <w:shd w:val="clear" w:color="auto" w:fill="CFF0FC"/>
          </w:tcPr>
          <w:p>
            <w:pPr>
              <w:jc w:val="right"/>
              <w:ind w:right="11"/>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(310,003)</w:t>
            </w:r>
          </w:p>
        </w:tc>
        <w:tc>
          <w:tcPr>
            <w:tcW w:w="26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225,689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Exercise of stock options</w:t>
            </w: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4620" w:type="dxa"/>
            <w:vAlign w:val="bottom"/>
            <w:tcBorders>
              <w:right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2,610</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2,610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Net loss</w:t>
            </w: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(15,270)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(15,270)</w:t>
            </w:r>
          </w:p>
        </w:tc>
        <w:tc>
          <w:tcPr>
            <w:tcW w:w="0" w:type="dxa"/>
            <w:vAlign w:val="bottom"/>
          </w:tcPr>
          <w:p>
            <w:pPr>
              <w:spacing w:after="0"/>
              <w:rPr>
                <w:sz w:val="1"/>
                <w:szCs w:val="1"/>
                <w:color w:val="auto"/>
              </w:rPr>
            </w:pPr>
          </w:p>
        </w:tc>
      </w:tr>
      <w:tr>
        <w:trPr>
          <w:trHeight w:val="203"/>
        </w:trPr>
        <w:tc>
          <w:tcPr>
            <w:tcW w:w="4620" w:type="dxa"/>
            <w:vAlign w:val="bottom"/>
            <w:tcBorders>
              <w:right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Unrealized loss on investments</w:t>
            </w: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(319)</w:t>
            </w: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(319)</w:t>
            </w:r>
          </w:p>
        </w:tc>
        <w:tc>
          <w:tcPr>
            <w:tcW w:w="0" w:type="dxa"/>
            <w:vAlign w:val="bottom"/>
          </w:tcPr>
          <w:p>
            <w:pPr>
              <w:spacing w:after="0"/>
              <w:rPr>
                <w:sz w:val="1"/>
                <w:szCs w:val="1"/>
                <w:color w:val="auto"/>
              </w:rPr>
            </w:pPr>
          </w:p>
        </w:tc>
      </w:tr>
      <w:tr>
        <w:trPr>
          <w:trHeight w:val="203"/>
        </w:trPr>
        <w:tc>
          <w:tcPr>
            <w:tcW w:w="46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Foreign currency translation loss</w:t>
            </w: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(34)</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(34)</w:t>
            </w:r>
          </w:p>
        </w:tc>
        <w:tc>
          <w:tcPr>
            <w:tcW w:w="0" w:type="dxa"/>
            <w:vAlign w:val="bottom"/>
          </w:tcPr>
          <w:p>
            <w:pPr>
              <w:spacing w:after="0"/>
              <w:rPr>
                <w:sz w:val="1"/>
                <w:szCs w:val="1"/>
                <w:color w:val="auto"/>
              </w:rPr>
            </w:pPr>
          </w:p>
        </w:tc>
      </w:tr>
      <w:tr>
        <w:trPr>
          <w:trHeight w:val="20"/>
        </w:trPr>
        <w:tc>
          <w:tcPr>
            <w:tcW w:w="462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620" w:type="dxa"/>
            <w:vAlign w:val="bottom"/>
            <w:tcBorders>
              <w:right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at March 31, 2024</w:t>
            </w:r>
          </w:p>
        </w:tc>
        <w:tc>
          <w:tcPr>
            <w:tcW w:w="12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51,445,862</w:t>
            </w:r>
          </w:p>
        </w:tc>
        <w:tc>
          <w:tcPr>
            <w:tcW w:w="240" w:type="dxa"/>
            <w:vAlign w:val="bottom"/>
            <w:shd w:val="clear" w:color="auto" w:fill="CFF0FC"/>
          </w:tcPr>
          <w:p>
            <w:pPr>
              <w:spacing w:after="0"/>
              <w:rPr>
                <w:sz w:val="20"/>
                <w:szCs w:val="20"/>
                <w:color w:val="auto"/>
              </w:rPr>
            </w:pPr>
          </w:p>
        </w:tc>
        <w:tc>
          <w:tcPr>
            <w:tcW w:w="640" w:type="dxa"/>
            <w:vAlign w:val="bottom"/>
            <w:shd w:val="clear" w:color="auto" w:fill="CFF0FC"/>
          </w:tcPr>
          <w:p>
            <w:pPr>
              <w:jc w:val="right"/>
              <w:ind w:right="488"/>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538,078</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(129)</w:t>
            </w:r>
          </w:p>
        </w:tc>
        <w:tc>
          <w:tcPr>
            <w:tcW w:w="240" w:type="dxa"/>
            <w:vAlign w:val="bottom"/>
            <w:gridSpan w:val="2"/>
            <w:shd w:val="clear" w:color="auto" w:fill="CFF0FC"/>
          </w:tcPr>
          <w:p>
            <w:pPr>
              <w:jc w:val="right"/>
              <w:ind w:right="11"/>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(325,273)</w:t>
            </w:r>
          </w:p>
        </w:tc>
        <w:tc>
          <w:tcPr>
            <w:tcW w:w="26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212,676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620" w:type="dxa"/>
            <w:vAlign w:val="bottom"/>
            <w:tcBorders>
              <w:top w:val="single" w:sz="8" w:color="CFF0FC"/>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860" w:type="dxa"/>
            <w:vAlign w:val="bottom"/>
            <w:tcBorders>
              <w:top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140" w:type="dxa"/>
            <w:vAlign w:val="bottom"/>
            <w:tcBorders>
              <w:top w:val="single" w:sz="8" w:color="CFF0FC"/>
            </w:tcBorders>
            <w:vMerge w:val="restart"/>
          </w:tcPr>
          <w:p>
            <w:pPr>
              <w:spacing w:after="0"/>
              <w:rPr>
                <w:sz w:val="19"/>
                <w:szCs w:val="19"/>
                <w:color w:val="auto"/>
              </w:rPr>
            </w:pPr>
          </w:p>
        </w:tc>
        <w:tc>
          <w:tcPr>
            <w:tcW w:w="80" w:type="dxa"/>
            <w:vAlign w:val="bottom"/>
            <w:tcBorders>
              <w:top w:val="single" w:sz="8" w:color="CFF0FC"/>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40" w:type="dxa"/>
            <w:vAlign w:val="bottom"/>
            <w:tcBorders>
              <w:top w:val="single" w:sz="8" w:color="CFF0FC"/>
            </w:tcBorders>
          </w:tcPr>
          <w:p>
            <w:pPr>
              <w:spacing w:after="0"/>
              <w:rPr>
                <w:sz w:val="19"/>
                <w:szCs w:val="19"/>
                <w:color w:val="auto"/>
              </w:rPr>
            </w:pPr>
          </w:p>
        </w:tc>
        <w:tc>
          <w:tcPr>
            <w:tcW w:w="80" w:type="dxa"/>
            <w:vAlign w:val="bottom"/>
            <w:tcBorders>
              <w:top w:val="single" w:sz="8" w:color="CFF0FC"/>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4620" w:type="dxa"/>
            <w:vAlign w:val="bottom"/>
            <w:tcBorders>
              <w:right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462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840" w:type="dxa"/>
            <w:vAlign w:val="bottom"/>
            <w:gridSpan w:val="3"/>
            <w:vMerge w:val="restart"/>
          </w:tcPr>
          <w:p>
            <w:pPr>
              <w:jc w:val="right"/>
              <w:ind w:right="348"/>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4"/>
              </w:rPr>
              <w:t>Additional</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42"/>
        </w:trPr>
        <w:tc>
          <w:tcPr>
            <w:tcW w:w="46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tcBorders>
              <w:bottom w:val="single" w:sz="8" w:color="auto"/>
            </w:tcBorders>
            <w:gridSpan w:val="3"/>
            <w:vMerge w:val="continue"/>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3"/>
                <w:szCs w:val="13"/>
                <w:b w:val="1"/>
                <w:bCs w:val="1"/>
                <w:color w:val="auto"/>
                <w:w w:val="98"/>
              </w:rPr>
              <w:t>Paid-in</w:t>
            </w:r>
          </w:p>
        </w:tc>
        <w:tc>
          <w:tcPr>
            <w:tcW w:w="120" w:type="dxa"/>
            <w:vAlign w:val="bottom"/>
          </w:tcPr>
          <w:p>
            <w:pPr>
              <w:spacing w:after="0"/>
              <w:rPr>
                <w:sz w:val="12"/>
                <w:szCs w:val="12"/>
                <w:color w:val="auto"/>
              </w:rPr>
            </w:pPr>
          </w:p>
        </w:tc>
        <w:tc>
          <w:tcPr>
            <w:tcW w:w="1000" w:type="dxa"/>
            <w:vAlign w:val="bottom"/>
            <w:gridSpan w:val="3"/>
          </w:tcPr>
          <w:p>
            <w:pPr>
              <w:jc w:val="center"/>
              <w:ind w:right="160"/>
              <w:spacing w:after="0" w:line="142"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80" w:type="dxa"/>
            <w:vAlign w:val="bottom"/>
          </w:tcPr>
          <w:p>
            <w:pPr>
              <w:spacing w:after="0"/>
              <w:rPr>
                <w:sz w:val="12"/>
                <w:szCs w:val="12"/>
                <w:color w:val="auto"/>
              </w:rPr>
            </w:pPr>
          </w:p>
        </w:tc>
        <w:tc>
          <w:tcPr>
            <w:tcW w:w="1000" w:type="dxa"/>
            <w:vAlign w:val="bottom"/>
            <w:gridSpan w:val="3"/>
          </w:tcPr>
          <w:p>
            <w:pPr>
              <w:jc w:val="center"/>
              <w:ind w:right="140"/>
              <w:spacing w:after="0" w:line="142" w:lineRule="exact"/>
              <w:rPr>
                <w:sz w:val="20"/>
                <w:szCs w:val="20"/>
                <w:color w:val="auto"/>
              </w:rPr>
            </w:pPr>
            <w:r>
              <w:rPr>
                <w:rFonts w:ascii="Times New Roman" w:cs="Times New Roman" w:eastAsia="Times New Roman" w:hAnsi="Times New Roman"/>
                <w:sz w:val="13"/>
                <w:szCs w:val="13"/>
                <w:b w:val="1"/>
                <w:bCs w:val="1"/>
                <w:color w:val="auto"/>
                <w:w w:val="94"/>
              </w:rPr>
              <w:t>Accumulated</w:t>
            </w:r>
          </w:p>
        </w:tc>
        <w:tc>
          <w:tcPr>
            <w:tcW w:w="80" w:type="dxa"/>
            <w:vAlign w:val="bottom"/>
          </w:tcPr>
          <w:p>
            <w:pPr>
              <w:spacing w:after="0"/>
              <w:rPr>
                <w:sz w:val="12"/>
                <w:szCs w:val="12"/>
                <w:color w:val="auto"/>
              </w:rPr>
            </w:pPr>
          </w:p>
        </w:tc>
        <w:tc>
          <w:tcPr>
            <w:tcW w:w="960" w:type="dxa"/>
            <w:vAlign w:val="bottom"/>
            <w:gridSpan w:val="3"/>
          </w:tcPr>
          <w:p>
            <w:pPr>
              <w:jc w:val="center"/>
              <w:ind w:right="100"/>
              <w:spacing w:after="0" w:line="142" w:lineRule="exact"/>
              <w:rPr>
                <w:sz w:val="20"/>
                <w:szCs w:val="20"/>
                <w:color w:val="auto"/>
              </w:rPr>
            </w:pPr>
            <w:r>
              <w:rPr>
                <w:rFonts w:ascii="Times New Roman" w:cs="Times New Roman" w:eastAsia="Times New Roman" w:hAnsi="Times New Roman"/>
                <w:sz w:val="13"/>
                <w:szCs w:val="13"/>
                <w:b w:val="1"/>
                <w:bCs w:val="1"/>
                <w:color w:val="auto"/>
                <w:w w:val="97"/>
              </w:rPr>
              <w:t>Stockholders'</w:t>
            </w:r>
          </w:p>
        </w:tc>
        <w:tc>
          <w:tcPr>
            <w:tcW w:w="0" w:type="dxa"/>
            <w:vAlign w:val="bottom"/>
          </w:tcPr>
          <w:p>
            <w:pPr>
              <w:spacing w:after="0"/>
              <w:rPr>
                <w:sz w:val="1"/>
                <w:szCs w:val="1"/>
                <w:color w:val="auto"/>
              </w:rPr>
            </w:pPr>
          </w:p>
        </w:tc>
      </w:tr>
      <w:tr>
        <w:trPr>
          <w:trHeight w:val="128"/>
        </w:trPr>
        <w:tc>
          <w:tcPr>
            <w:tcW w:w="462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Borders>
              <w:bottom w:val="single" w:sz="8" w:color="auto"/>
            </w:tcBorders>
          </w:tcPr>
          <w:p>
            <w:pPr>
              <w:jc w:val="right"/>
              <w:ind w:right="223"/>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240" w:type="dxa"/>
            <w:vAlign w:val="bottom"/>
          </w:tcPr>
          <w:p>
            <w:pPr>
              <w:spacing w:after="0"/>
              <w:rPr>
                <w:sz w:val="11"/>
                <w:szCs w:val="11"/>
                <w:color w:val="auto"/>
              </w:rPr>
            </w:pPr>
          </w:p>
        </w:tc>
        <w:tc>
          <w:tcPr>
            <w:tcW w:w="6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Amount</w:t>
            </w:r>
          </w:p>
        </w:tc>
        <w:tc>
          <w:tcPr>
            <w:tcW w:w="20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center"/>
              <w:ind w:right="44"/>
              <w:spacing w:after="0" w:line="129" w:lineRule="exact"/>
              <w:rPr>
                <w:sz w:val="20"/>
                <w:szCs w:val="20"/>
                <w:color w:val="auto"/>
              </w:rPr>
            </w:pPr>
            <w:r>
              <w:rPr>
                <w:rFonts w:ascii="Times New Roman" w:cs="Times New Roman" w:eastAsia="Times New Roman" w:hAnsi="Times New Roman"/>
                <w:sz w:val="13"/>
                <w:szCs w:val="13"/>
                <w:b w:val="1"/>
                <w:bCs w:val="1"/>
                <w:color w:val="auto"/>
                <w:w w:val="97"/>
              </w:rPr>
              <w:t>Capital</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Borders>
              <w:bottom w:val="single" w:sz="8" w:color="auto"/>
            </w:tcBorders>
            <w:gridSpan w:val="2"/>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6"/>
              </w:rPr>
              <w:t>Income (Loss)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center"/>
              <w:ind w:right="101"/>
              <w:spacing w:after="0" w:line="129" w:lineRule="exact"/>
              <w:rPr>
                <w:sz w:val="20"/>
                <w:szCs w:val="20"/>
                <w:color w:val="auto"/>
              </w:rPr>
            </w:pPr>
            <w:r>
              <w:rPr>
                <w:rFonts w:ascii="Times New Roman" w:cs="Times New Roman" w:eastAsia="Times New Roman" w:hAnsi="Times New Roman"/>
                <w:sz w:val="13"/>
                <w:szCs w:val="13"/>
                <w:b w:val="1"/>
                <w:bCs w:val="1"/>
                <w:color w:val="auto"/>
                <w:w w:val="97"/>
              </w:rPr>
              <w:t>Deficit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Borders>
              <w:bottom w:val="single" w:sz="8" w:color="auto"/>
            </w:tcBorders>
            <w:gridSpan w:val="2"/>
          </w:tcPr>
          <w:p>
            <w:pPr>
              <w:spacing w:after="0" w:line="129" w:lineRule="exact"/>
              <w:rPr>
                <w:sz w:val="20"/>
                <w:szCs w:val="20"/>
                <w:color w:val="auto"/>
              </w:rPr>
            </w:pPr>
            <w:r>
              <w:rPr>
                <w:rFonts w:ascii="Times New Roman" w:cs="Times New Roman" w:eastAsia="Times New Roman" w:hAnsi="Times New Roman"/>
                <w:sz w:val="13"/>
                <w:szCs w:val="13"/>
                <w:b w:val="1"/>
                <w:bCs w:val="1"/>
                <w:color w:val="auto"/>
                <w:w w:val="97"/>
              </w:rPr>
              <w:t>Equity (Deficit)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4620" w:type="dxa"/>
            <w:vAlign w:val="bottom"/>
            <w:tcBorders>
              <w:right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at December 31, 2024</w:t>
            </w: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51,935,134</w:t>
            </w:r>
          </w:p>
        </w:tc>
        <w:tc>
          <w:tcPr>
            <w:tcW w:w="880" w:type="dxa"/>
            <w:vAlign w:val="bottom"/>
            <w:gridSpan w:val="2"/>
            <w:shd w:val="clear" w:color="auto" w:fill="CFF0FC"/>
          </w:tcPr>
          <w:p>
            <w:pPr>
              <w:jc w:val="right"/>
              <w:ind w:right="488"/>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544,653</w:t>
            </w:r>
          </w:p>
        </w:tc>
        <w:tc>
          <w:tcPr>
            <w:tcW w:w="280" w:type="dxa"/>
            <w:vAlign w:val="bottom"/>
            <w:gridSpan w:val="2"/>
            <w:shd w:val="clear" w:color="auto" w:fill="CFF0FC"/>
          </w:tcPr>
          <w:p>
            <w:pPr>
              <w:jc w:val="right"/>
              <w:ind w:right="13"/>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139</w:t>
            </w:r>
          </w:p>
        </w:tc>
        <w:tc>
          <w:tcPr>
            <w:tcW w:w="240" w:type="dxa"/>
            <w:vAlign w:val="bottom"/>
            <w:gridSpan w:val="2"/>
            <w:shd w:val="clear" w:color="auto" w:fill="CFF0FC"/>
          </w:tcPr>
          <w:p>
            <w:pPr>
              <w:jc w:val="right"/>
              <w:ind w:right="11"/>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(368,712)</w:t>
            </w:r>
          </w:p>
        </w:tc>
        <w:tc>
          <w:tcPr>
            <w:tcW w:w="26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176,080</w:t>
            </w:r>
          </w:p>
        </w:tc>
        <w:tc>
          <w:tcPr>
            <w:tcW w:w="0" w:type="dxa"/>
            <w:vAlign w:val="bottom"/>
          </w:tcPr>
          <w:p>
            <w:pPr>
              <w:spacing w:after="0"/>
              <w:rPr>
                <w:sz w:val="1"/>
                <w:szCs w:val="1"/>
                <w:color w:val="auto"/>
              </w:rPr>
            </w:pPr>
          </w:p>
        </w:tc>
      </w:tr>
      <w:tr>
        <w:trPr>
          <w:trHeight w:val="203"/>
        </w:trPr>
        <w:tc>
          <w:tcPr>
            <w:tcW w:w="46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Exercise of stock options</w:t>
            </w: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19,001</w:t>
            </w: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03"/>
        </w:trPr>
        <w:tc>
          <w:tcPr>
            <w:tcW w:w="4620" w:type="dxa"/>
            <w:vAlign w:val="bottom"/>
            <w:tcBorders>
              <w:right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1,508</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1,508</w:t>
            </w:r>
          </w:p>
        </w:tc>
        <w:tc>
          <w:tcPr>
            <w:tcW w:w="0" w:type="dxa"/>
            <w:vAlign w:val="bottom"/>
          </w:tcPr>
          <w:p>
            <w:pPr>
              <w:spacing w:after="0"/>
              <w:rPr>
                <w:sz w:val="1"/>
                <w:szCs w:val="1"/>
                <w:color w:val="auto"/>
              </w:rPr>
            </w:pPr>
          </w:p>
        </w:tc>
      </w:tr>
      <w:tr>
        <w:trPr>
          <w:trHeight w:val="203"/>
        </w:trPr>
        <w:tc>
          <w:tcPr>
            <w:tcW w:w="46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Net loss</w:t>
            </w: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(17,436)</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(17,436)</w:t>
            </w:r>
          </w:p>
        </w:tc>
        <w:tc>
          <w:tcPr>
            <w:tcW w:w="0" w:type="dxa"/>
            <w:vAlign w:val="bottom"/>
          </w:tcPr>
          <w:p>
            <w:pPr>
              <w:spacing w:after="0"/>
              <w:rPr>
                <w:sz w:val="1"/>
                <w:szCs w:val="1"/>
                <w:color w:val="auto"/>
              </w:rPr>
            </w:pPr>
          </w:p>
        </w:tc>
      </w:tr>
      <w:tr>
        <w:trPr>
          <w:trHeight w:val="203"/>
        </w:trPr>
        <w:tc>
          <w:tcPr>
            <w:tcW w:w="4620" w:type="dxa"/>
            <w:vAlign w:val="bottom"/>
            <w:tcBorders>
              <w:right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Unrealized loss on investments</w:t>
            </w: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(62)</w:t>
            </w: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(62)</w:t>
            </w:r>
          </w:p>
        </w:tc>
        <w:tc>
          <w:tcPr>
            <w:tcW w:w="0" w:type="dxa"/>
            <w:vAlign w:val="bottom"/>
          </w:tcPr>
          <w:p>
            <w:pPr>
              <w:spacing w:after="0"/>
              <w:rPr>
                <w:sz w:val="1"/>
                <w:szCs w:val="1"/>
                <w:color w:val="auto"/>
              </w:rPr>
            </w:pPr>
          </w:p>
        </w:tc>
      </w:tr>
      <w:tr>
        <w:trPr>
          <w:trHeight w:val="203"/>
        </w:trPr>
        <w:tc>
          <w:tcPr>
            <w:tcW w:w="46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Foreign currency translation gain</w:t>
            </w:r>
          </w:p>
        </w:tc>
        <w:tc>
          <w:tcPr>
            <w:tcW w:w="120" w:type="dxa"/>
            <w:vAlign w:val="bottom"/>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tcBorders>
              <w:right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at March 31, 2025</w:t>
            </w: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51,954,135</w:t>
            </w:r>
          </w:p>
        </w:tc>
        <w:tc>
          <w:tcPr>
            <w:tcW w:w="240" w:type="dxa"/>
            <w:vAlign w:val="bottom"/>
            <w:shd w:val="clear" w:color="auto" w:fill="CFF0FC"/>
          </w:tcPr>
          <w:p>
            <w:pPr>
              <w:spacing w:after="0"/>
              <w:rPr>
                <w:sz w:val="18"/>
                <w:szCs w:val="18"/>
                <w:color w:val="auto"/>
              </w:rPr>
            </w:pPr>
          </w:p>
        </w:tc>
        <w:tc>
          <w:tcPr>
            <w:tcW w:w="640" w:type="dxa"/>
            <w:vAlign w:val="bottom"/>
            <w:shd w:val="clear" w:color="auto" w:fill="CFF0FC"/>
          </w:tcPr>
          <w:p>
            <w:pPr>
              <w:jc w:val="right"/>
              <w:ind w:right="488"/>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546,171</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(386,148)</w:t>
            </w:r>
          </w:p>
        </w:tc>
        <w:tc>
          <w:tcPr>
            <w:tcW w:w="26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160,107</w:t>
            </w:r>
          </w:p>
        </w:tc>
        <w:tc>
          <w:tcPr>
            <w:tcW w:w="0" w:type="dxa"/>
            <w:vAlign w:val="bottom"/>
          </w:tcPr>
          <w:p>
            <w:pPr>
              <w:spacing w:after="0"/>
              <w:rPr>
                <w:sz w:val="1"/>
                <w:szCs w:val="1"/>
                <w:color w:val="auto"/>
              </w:rPr>
            </w:pPr>
          </w:p>
        </w:tc>
      </w:tr>
      <w:tr>
        <w:trPr>
          <w:trHeight w:val="20"/>
        </w:trPr>
        <w:tc>
          <w:tcPr>
            <w:tcW w:w="462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-1464945</wp:posOffset>
            </wp:positionV>
            <wp:extent cx="7683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-1448435</wp:posOffset>
            </wp:positionV>
            <wp:extent cx="7683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-1464945</wp:posOffset>
            </wp:positionV>
            <wp:extent cx="7747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-1448435</wp:posOffset>
            </wp:positionV>
            <wp:extent cx="7747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-1464945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-1448435</wp:posOffset>
            </wp:positionV>
            <wp:extent cx="685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-1464945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-1448435</wp:posOffset>
            </wp:positionV>
            <wp:extent cx="685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-1464945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-1448435</wp:posOffset>
            </wp:positionV>
            <wp:extent cx="685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-1464945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-1448435</wp:posOffset>
            </wp:positionV>
            <wp:extent cx="685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-25400</wp:posOffset>
            </wp:positionV>
            <wp:extent cx="7683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-7620</wp:posOffset>
            </wp:positionV>
            <wp:extent cx="7683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-25400</wp:posOffset>
            </wp:positionV>
            <wp:extent cx="7747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-7620</wp:posOffset>
            </wp:positionV>
            <wp:extent cx="7747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-25400</wp:posOffset>
            </wp:positionV>
            <wp:extent cx="685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-7620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-25400</wp:posOffset>
            </wp:positionV>
            <wp:extent cx="685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-7620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-25400</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-7620</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800" w:type="dxa"/>
            <w:vAlign w:val="bottom"/>
            <w:tcBorders>
              <w:bottom w:val="single" w:sz="8" w:color="auto"/>
            </w:tcBorders>
            <w:gridSpan w:val="5"/>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66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9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0"/>
        </w:trPr>
        <w:tc>
          <w:tcPr>
            <w:tcW w:w="6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100" w:type="dxa"/>
            <w:vAlign w:val="bottom"/>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060" w:type="dxa"/>
            <w:vAlign w:val="bottom"/>
            <w:gridSpan w:val="2"/>
          </w:tcPr>
          <w:p>
            <w:pPr>
              <w:jc w:val="right"/>
              <w:ind w:right="808"/>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(17,436)</w:t>
            </w:r>
          </w:p>
        </w:tc>
        <w:tc>
          <w:tcPr>
            <w:tcW w:w="106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(15,270)</w:t>
            </w:r>
          </w:p>
        </w:tc>
      </w:tr>
      <w:tr>
        <w:trPr>
          <w:trHeight w:val="216"/>
        </w:trPr>
        <w:tc>
          <w:tcPr>
            <w:tcW w:w="6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2,610</w:t>
            </w:r>
          </w:p>
        </w:tc>
        <w:tc>
          <w:tcPr>
            <w:tcW w:w="100" w:type="dxa"/>
            <w:vAlign w:val="bottom"/>
          </w:tcPr>
          <w:p>
            <w:pPr>
              <w:spacing w:after="0"/>
              <w:rPr>
                <w:sz w:val="18"/>
                <w:szCs w:val="18"/>
                <w:color w:val="auto"/>
              </w:rPr>
            </w:pPr>
          </w:p>
        </w:tc>
      </w:tr>
      <w:tr>
        <w:trPr>
          <w:trHeight w:val="216"/>
        </w:trPr>
        <w:tc>
          <w:tcPr>
            <w:tcW w:w="66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Depreciation</w:t>
            </w:r>
          </w:p>
        </w:tc>
        <w:tc>
          <w:tcPr>
            <w:tcW w:w="1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100" w:type="dxa"/>
            <w:vAlign w:val="bottom"/>
            <w:shd w:val="clear" w:color="auto" w:fill="CFF0FC"/>
          </w:tcPr>
          <w:p>
            <w:pPr>
              <w:spacing w:after="0"/>
              <w:rPr>
                <w:sz w:val="18"/>
                <w:szCs w:val="18"/>
                <w:color w:val="auto"/>
              </w:rPr>
            </w:pPr>
          </w:p>
        </w:tc>
      </w:tr>
      <w:tr>
        <w:trPr>
          <w:trHeight w:val="216"/>
        </w:trPr>
        <w:tc>
          <w:tcPr>
            <w:tcW w:w="6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Accretion of discounts on marketable securities</w:t>
            </w:r>
          </w:p>
        </w:tc>
        <w:tc>
          <w:tcPr>
            <w:tcW w:w="1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(840)</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(1,628)</w:t>
            </w:r>
          </w:p>
        </w:tc>
      </w:tr>
      <w:tr>
        <w:trPr>
          <w:trHeight w:val="216"/>
        </w:trPr>
        <w:tc>
          <w:tcPr>
            <w:tcW w:w="66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Non cash lease expense</w:t>
            </w:r>
          </w:p>
        </w:tc>
        <w:tc>
          <w:tcPr>
            <w:tcW w:w="1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(92)</w:t>
            </w:r>
          </w:p>
        </w:tc>
      </w:tr>
      <w:tr>
        <w:trPr>
          <w:trHeight w:val="216"/>
        </w:trPr>
        <w:tc>
          <w:tcPr>
            <w:tcW w:w="6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Gain on sales and disposals of fixed assets, net</w:t>
            </w:r>
          </w:p>
        </w:tc>
        <w:tc>
          <w:tcPr>
            <w:tcW w:w="1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net</w:t>
            </w:r>
          </w:p>
        </w:tc>
        <w:tc>
          <w:tcPr>
            <w:tcW w:w="1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FF0FC"/>
          </w:tcPr>
          <w:p>
            <w:pPr>
              <w:spacing w:after="0"/>
              <w:rPr>
                <w:sz w:val="18"/>
                <w:szCs w:val="18"/>
                <w:color w:val="auto"/>
              </w:rPr>
            </w:pPr>
          </w:p>
        </w:tc>
      </w:tr>
      <w:tr>
        <w:trPr>
          <w:trHeight w:val="216"/>
        </w:trPr>
        <w:tc>
          <w:tcPr>
            <w:tcW w:w="6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 in operating assets and liabilities:</w:t>
            </w:r>
          </w:p>
        </w:tc>
        <w:tc>
          <w:tcPr>
            <w:tcW w:w="1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3,088</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(169)</w:t>
            </w:r>
          </w:p>
        </w:tc>
      </w:tr>
      <w:tr>
        <w:trPr>
          <w:trHeight w:val="216"/>
        </w:trPr>
        <w:tc>
          <w:tcPr>
            <w:tcW w:w="6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Accounts payable</w:t>
            </w:r>
          </w:p>
        </w:tc>
        <w:tc>
          <w:tcPr>
            <w:tcW w:w="1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(2,986)</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(2,384)</w:t>
            </w:r>
          </w:p>
        </w:tc>
      </w:tr>
      <w:tr>
        <w:trPr>
          <w:trHeight w:val="216"/>
        </w:trPr>
        <w:tc>
          <w:tcPr>
            <w:tcW w:w="66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Accrued expenses</w:t>
            </w:r>
          </w:p>
        </w:tc>
        <w:tc>
          <w:tcPr>
            <w:tcW w:w="1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(1,637)</w:t>
            </w: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00" w:type="dxa"/>
            <w:vAlign w:val="bottom"/>
            <w:shd w:val="clear" w:color="auto" w:fill="CFF0FC"/>
          </w:tcPr>
          <w:p>
            <w:pPr>
              <w:spacing w:after="0"/>
              <w:rPr>
                <w:sz w:val="18"/>
                <w:szCs w:val="18"/>
                <w:color w:val="auto"/>
              </w:rPr>
            </w:pPr>
          </w:p>
        </w:tc>
      </w:tr>
      <w:tr>
        <w:trPr>
          <w:trHeight w:val="20"/>
        </w:trPr>
        <w:tc>
          <w:tcPr>
            <w:tcW w:w="6620" w:type="dxa"/>
            <w:vAlign w:val="bottom"/>
            <w:shd w:val="clear" w:color="auto" w:fill="CFF0FC"/>
          </w:tcPr>
          <w:p>
            <w:pPr>
              <w:spacing w:after="0" w:line="20" w:lineRule="exact"/>
              <w:rPr>
                <w:sz w:val="1"/>
                <w:szCs w:val="1"/>
                <w:color w:val="auto"/>
              </w:rPr>
            </w:pPr>
          </w:p>
        </w:tc>
        <w:tc>
          <w:tcPr>
            <w:tcW w:w="110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66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(18,266)</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(16,184)</w:t>
            </w:r>
          </w:p>
        </w:tc>
      </w:tr>
      <w:tr>
        <w:trPr>
          <w:trHeight w:val="210"/>
        </w:trPr>
        <w:tc>
          <w:tcPr>
            <w:tcW w:w="6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100" w:type="dxa"/>
            <w:vAlign w:val="bottom"/>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(594)</w:t>
            </w:r>
          </w:p>
        </w:tc>
      </w:tr>
      <w:tr>
        <w:trPr>
          <w:trHeight w:val="216"/>
        </w:trPr>
        <w:tc>
          <w:tcPr>
            <w:tcW w:w="6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1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(15,727)</w:t>
            </w: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(30,489)</w:t>
            </w: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Maturities of marketable securities</w:t>
            </w:r>
          </w:p>
        </w:tc>
        <w:tc>
          <w:tcPr>
            <w:tcW w:w="110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44,445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57,249</w:t>
            </w:r>
          </w:p>
        </w:tc>
        <w:tc>
          <w:tcPr>
            <w:tcW w:w="100" w:type="dxa"/>
            <w:vAlign w:val="bottom"/>
          </w:tcPr>
          <w:p>
            <w:pPr>
              <w:spacing w:after="0"/>
              <w:rPr>
                <w:sz w:val="18"/>
                <w:szCs w:val="18"/>
                <w:color w:val="auto"/>
              </w:rPr>
            </w:pPr>
          </w:p>
        </w:tc>
      </w:tr>
      <w:tr>
        <w:trPr>
          <w:trHeight w:val="210"/>
        </w:trPr>
        <w:tc>
          <w:tcPr>
            <w:tcW w:w="6620" w:type="dxa"/>
            <w:vAlign w:val="bottom"/>
            <w:tcBorders>
              <w:bottom w:val="single" w:sz="8" w:color="CFF0FC"/>
            </w:tcBorders>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110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28,714</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26,166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Proceeds from the exercise of stock options</w:t>
            </w:r>
          </w:p>
        </w:tc>
        <w:tc>
          <w:tcPr>
            <w:tcW w:w="110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6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10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0"/>
        </w:trPr>
        <w:tc>
          <w:tcPr>
            <w:tcW w:w="662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Impact of exchange rates on cash, cash equivalents, and restricted cash</w:t>
            </w:r>
          </w:p>
        </w:tc>
        <w:tc>
          <w:tcPr>
            <w:tcW w:w="1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66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1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9,948</w:t>
            </w:r>
          </w:p>
        </w:tc>
        <w:tc>
          <w:tcPr>
            <w:tcW w:w="100" w:type="dxa"/>
            <w:vAlign w:val="bottom"/>
          </w:tcPr>
          <w:p>
            <w:pPr>
              <w:spacing w:after="0"/>
              <w:rPr>
                <w:sz w:val="18"/>
                <w:szCs w:val="18"/>
                <w:color w:val="auto"/>
              </w:rPr>
            </w:pPr>
          </w:p>
        </w:tc>
      </w:tr>
      <w:tr>
        <w:trPr>
          <w:trHeight w:val="216"/>
        </w:trPr>
        <w:tc>
          <w:tcPr>
            <w:tcW w:w="6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w:t>
            </w:r>
          </w:p>
        </w:tc>
        <w:tc>
          <w:tcPr>
            <w:tcW w:w="1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 beginning of period</w:t>
            </w:r>
          </w:p>
        </w:tc>
        <w:tc>
          <w:tcPr>
            <w:tcW w:w="110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40,876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38,528</w:t>
            </w:r>
          </w:p>
        </w:tc>
        <w:tc>
          <w:tcPr>
            <w:tcW w:w="100" w:type="dxa"/>
            <w:vAlign w:val="bottom"/>
          </w:tcPr>
          <w:p>
            <w:pPr>
              <w:spacing w:after="0"/>
              <w:rPr>
                <w:sz w:val="18"/>
                <w:szCs w:val="18"/>
                <w:color w:val="auto"/>
              </w:rPr>
            </w:pPr>
          </w:p>
        </w:tc>
      </w:tr>
      <w:tr>
        <w:trPr>
          <w:trHeight w:val="250"/>
        </w:trPr>
        <w:tc>
          <w:tcPr>
            <w:tcW w:w="6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 end of period</w:t>
            </w:r>
          </w:p>
        </w:tc>
        <w:tc>
          <w:tcPr>
            <w:tcW w:w="2060" w:type="dxa"/>
            <w:vAlign w:val="bottom"/>
            <w:gridSpan w:val="2"/>
            <w:shd w:val="clear" w:color="auto" w:fill="CFF0FC"/>
          </w:tcPr>
          <w:p>
            <w:pPr>
              <w:jc w:val="right"/>
              <w:ind w:right="80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51,341</w:t>
            </w:r>
          </w:p>
        </w:tc>
        <w:tc>
          <w:tcPr>
            <w:tcW w:w="18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48,476</w:t>
            </w:r>
          </w:p>
        </w:tc>
        <w:tc>
          <w:tcPr>
            <w:tcW w:w="100" w:type="dxa"/>
            <w:vAlign w:val="bottom"/>
            <w:shd w:val="clear" w:color="auto" w:fill="CFF0FC"/>
          </w:tcPr>
          <w:p>
            <w:pPr>
              <w:spacing w:after="0"/>
              <w:rPr>
                <w:sz w:val="21"/>
                <w:szCs w:val="21"/>
                <w:color w:val="auto"/>
              </w:rPr>
            </w:pPr>
          </w:p>
        </w:tc>
      </w:tr>
      <w:tr>
        <w:trPr>
          <w:trHeight w:val="196"/>
        </w:trPr>
        <w:tc>
          <w:tcPr>
            <w:tcW w:w="662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Supplemental disclosures of noncash investing activities</w:t>
            </w:r>
          </w:p>
        </w:tc>
        <w:tc>
          <w:tcPr>
            <w:tcW w:w="1100" w:type="dxa"/>
            <w:vAlign w:val="bottom"/>
            <w:tcBorders>
              <w:top w:val="single" w:sz="8" w:color="CFF0FC"/>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6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purchases of property and equipment</w:t>
            </w:r>
          </w:p>
        </w:tc>
        <w:tc>
          <w:tcPr>
            <w:tcW w:w="2060" w:type="dxa"/>
            <w:vAlign w:val="bottom"/>
            <w:gridSpan w:val="2"/>
            <w:shd w:val="clear" w:color="auto" w:fill="CFF0FC"/>
          </w:tcPr>
          <w:p>
            <w:pPr>
              <w:jc w:val="right"/>
              <w:ind w:right="808"/>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-2279650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-2279650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-1430655</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-1430655</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-1148080</wp:posOffset>
            </wp:positionV>
            <wp:extent cx="685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-1148080</wp:posOffset>
            </wp:positionV>
            <wp:extent cx="685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-299085</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-281940</wp:posOffset>
            </wp:positionV>
            <wp:extent cx="685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-299085</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-281940</wp:posOffset>
            </wp:positionV>
            <wp:extent cx="685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8" w:name="page9"/>
    <w:bookmarkEnd w:id="8"/>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311" w:lineRule="exact"/>
        <w:rPr>
          <w:sz w:val="20"/>
          <w:szCs w:val="20"/>
          <w:color w:val="auto"/>
        </w:rPr>
      </w:pPr>
    </w:p>
    <w:p>
      <w:pPr>
        <w:ind w:left="520" w:right="7960" w:hanging="512"/>
        <w:spacing w:after="0" w:line="400" w:lineRule="auto"/>
        <w:tabs>
          <w:tab w:leader="none" w:pos="191" w:val="left"/>
        </w:tabs>
        <w:numPr>
          <w:ilvl w:val="0"/>
          <w:numId w:val="5"/>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Formation and Business of the Company Organization and Liquidity</w:t>
      </w:r>
    </w:p>
    <w:p>
      <w:pPr>
        <w:ind w:firstLine="509"/>
        <w:spacing w:after="0" w:line="261" w:lineRule="auto"/>
        <w:rPr>
          <w:sz w:val="20"/>
          <w:szCs w:val="20"/>
          <w:color w:val="auto"/>
        </w:rPr>
      </w:pPr>
      <w:r>
        <w:rPr>
          <w:rFonts w:ascii="Times New Roman" w:cs="Times New Roman" w:eastAsia="Times New Roman" w:hAnsi="Times New Roman"/>
          <w:sz w:val="18"/>
          <w:szCs w:val="18"/>
          <w:color w:val="auto"/>
        </w:rPr>
        <w:t>PMV Pharmaceuticals, Inc. (the “Company”) was incorporated in the state of Delaware in March 2013. Since inception, the Company has devoted substantially all of its time and efforts to performing research and development activities and raising capital. The Company is a precision oncology company pioneering the discovery and development of small molecule, tumor-agnostic therapies targeting p53. The Company’s headquarters are located at 400 Alexander Park Drive, Suite 301, Princeton, New Jersey.</w:t>
      </w:r>
    </w:p>
    <w:p>
      <w:pPr>
        <w:spacing w:after="0" w:line="72"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The Company is subject to risks and uncertainties common to clinical stage companies in the biotechnology industry including, but not limited to, technical risks associated with the successful research, development and manufacturing of product candidates, development by competitors of new technological innovations, dependence on key personnel, protection of proprietary technology, compliance with government regulations and the ability to secure additional capital to fund operations. Current and future programs will require significant research and development efforts, including extensive preclinical and clinical testing and regulatory approval prior to commercialization. These efforts require significant amounts of additional capital, adequate personnel, and infrastructure. Even if the Company’s product development efforts are successful, it is uncertain when, if ever, the Company will realize significant revenue from product sales.</w:t>
      </w:r>
    </w:p>
    <w:p>
      <w:pPr>
        <w:spacing w:after="0" w:line="81" w:lineRule="exact"/>
        <w:rPr>
          <w:sz w:val="20"/>
          <w:szCs w:val="20"/>
          <w:color w:val="auto"/>
        </w:rPr>
      </w:pPr>
    </w:p>
    <w:p>
      <w:pPr>
        <w:jc w:val="both"/>
        <w:ind w:right="80" w:firstLine="509"/>
        <w:spacing w:after="0" w:line="257" w:lineRule="auto"/>
        <w:rPr>
          <w:sz w:val="20"/>
          <w:szCs w:val="20"/>
          <w:color w:val="auto"/>
        </w:rPr>
      </w:pPr>
      <w:r>
        <w:rPr>
          <w:rFonts w:ascii="Times New Roman" w:cs="Times New Roman" w:eastAsia="Times New Roman" w:hAnsi="Times New Roman"/>
          <w:sz w:val="18"/>
          <w:szCs w:val="18"/>
          <w:color w:val="auto"/>
        </w:rPr>
        <w:t>The Company has incurred net losses and negative cash flows from operations since its inception. During the three months ended March 31, 2025, the Company incurred a net loss of $17,436. For the three months ended March 31, 2025, the Company used $18,266 of cash for operations. At March 31, 2025, the Company had an accumulated deficit of $386,148. Cash, cash equivalents, and marketable securities were $165,823 as of March 31, 2025.</w:t>
      </w:r>
    </w:p>
    <w:p>
      <w:pPr>
        <w:spacing w:after="0" w:line="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Management expects to incur substantial additional operating losses for the next several years and may need to obtain additional debt or equity financings in order to complete development of its products, obtain regulatory approvals, launch and commercialize its products and continue research and development programs. The Company believes it has adequate cash, cash equivalents, and marketable securities to operate for the next 12 months from the date of issuance of these condensed consolidated financial statements.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 Summary of Significant Accounting Policies</w:t>
      </w:r>
    </w:p>
    <w:p>
      <w:pPr>
        <w:spacing w:after="0" w:line="121" w:lineRule="exact"/>
        <w:rPr>
          <w:sz w:val="20"/>
          <w:szCs w:val="20"/>
          <w:color w:val="auto"/>
        </w:rPr>
      </w:pPr>
    </w:p>
    <w:p>
      <w:pPr>
        <w:ind w:right="260" w:firstLine="509"/>
        <w:spacing w:after="0" w:line="261" w:lineRule="auto"/>
        <w:rPr>
          <w:sz w:val="20"/>
          <w:szCs w:val="20"/>
          <w:color w:val="auto"/>
        </w:rPr>
      </w:pPr>
      <w:r>
        <w:rPr>
          <w:rFonts w:ascii="Times New Roman" w:cs="Times New Roman" w:eastAsia="Times New Roman" w:hAnsi="Times New Roman"/>
          <w:sz w:val="18"/>
          <w:szCs w:val="18"/>
          <w:color w:val="auto"/>
        </w:rPr>
        <w:t>The Company’s significant accounting policies are disclosed in the audited condensed consolidated financial statements for the year ended December 31, 2024, included in the Company’s Annual Report on Form 10-K filed with the United States Securities and Exchange Commission (the “SEC”) on March 3, 2025. Since the date of those condensed consolidated financial statements, there have been no changes to its significant accounting policies.</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accounting principles generally accepted in the United States (“GAAP”) for interim financial information and with the interim period reporting requirements of Form 10-Q and Article 10 of Regulation S-X. The condensed consolidated balance sheet as of March 31, 2025, the condensed consolidated statements of operations and comprehensive loss, condensed consolidated statements of stockholders’ equity, and condensed consolidated statements of cash flows for the three months ended March 31, 2025 and 2024, are unaudited, but, in the opinion of management, include all adjustments, consisting only of normal recurring adjustments, which we consider necessary for a fair presentation of the financial position, operating results and cash flows for the periods presented. The results for any interim period are not necessarily indicative of results for the year ending December 31, 2025, or for any other subsequent interim period. The condensed consolidated balance sheet as of December 31, 2024, has been derived from our audited condensed consolidated financial statements.</w:t>
      </w:r>
    </w:p>
    <w:p>
      <w:pPr>
        <w:spacing w:after="0" w:line="84"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include the Company's accounts and the accounts of its wholly owned subsidiary, PMV Pharma Australia Pvt Ltd. All significant intercompany transactions and balances have been eliminated upon consolidation. These condensed consolidated financial statements are presented in United States (“U.S.”) Dollars, which is also the functional currency of the Company.</w:t>
      </w:r>
    </w:p>
    <w:p>
      <w:pPr>
        <w:spacing w:after="0" w:line="13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31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preparation of condensed consolidated financial statements in conformity with GAAP requires management to make estimates and assumptions that affect the reported amounts of assets and liabilities and disclosure of contingent assets and liabilities at the date of the condensed consolidated financial statements and reported amounts of revenues and expenses during the reporting period. The Company bases its estimates and assumptions on historical experience when available and on various factors that it believes to be reasonable under the circumstances. Significant estimates and assumptions reflected in these condensed consolidated financial statements include, but are not limited to, research and development costs, accrued research and development costs and related prepaid expenses, and stock-based compensation. Actual results could differ materially from those estimates.</w:t>
      </w:r>
    </w:p>
    <w:p>
      <w:pPr>
        <w:spacing w:after="0" w:line="2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21"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The Company discloses and recognizes the fair value of its assets and liabilities using a hierarchy that prioritizes the inputs to valuation techniques used to measure fair value. Fair value is defined as the price that would be received to sell an asset or paid to transfer a liability (an exit price) in an orderly transaction between market participants at the reporting date. The hierarchy gives the highest priority to valuations based upon unadjusted quoted prices in active markets for identical assets or liabilities (Level 1 measurements) and the lowest priority to valuations based upon unobservable inputs that are significant to the valuation (Level 3 measurements). The guidance establishes three levels of the fair value hierarchy as follows:</w:t>
      </w:r>
    </w:p>
    <w:p>
      <w:pPr>
        <w:spacing w:after="0" w:line="75" w:lineRule="exact"/>
        <w:rPr>
          <w:sz w:val="20"/>
          <w:szCs w:val="20"/>
          <w:color w:val="auto"/>
        </w:rPr>
      </w:pPr>
    </w:p>
    <w:p>
      <w:pPr>
        <w:ind w:left="1020" w:right="26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Inputs that reflect unadjusted quoted prices in active markets for identical assets or liabilities that the Company has the ability to access at the measurement date.</w:t>
      </w:r>
    </w:p>
    <w:p>
      <w:pPr>
        <w:spacing w:after="0" w:line="53"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other than quoted prices that are observable for the asset or liability either directly or indirectly, including inputs in markets that are not considered to be active.</w:t>
      </w:r>
    </w:p>
    <w:p>
      <w:pPr>
        <w:spacing w:after="0" w:line="53"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Inputs are unobservable in which there is little or no market data available, which require the reporting entity to develop its own assumptions that are unobservable.</w:t>
      </w:r>
    </w:p>
    <w:p>
      <w:pPr>
        <w:spacing w:after="0" w:line="54" w:lineRule="exact"/>
        <w:rPr>
          <w:sz w:val="20"/>
          <w:szCs w:val="20"/>
          <w:color w:val="auto"/>
        </w:rPr>
      </w:pPr>
    </w:p>
    <w:p>
      <w:pPr>
        <w:ind w:right="360" w:firstLine="509"/>
        <w:spacing w:after="0" w:line="266" w:lineRule="auto"/>
        <w:rPr>
          <w:sz w:val="20"/>
          <w:szCs w:val="20"/>
          <w:color w:val="auto"/>
        </w:rPr>
      </w:pPr>
      <w:r>
        <w:rPr>
          <w:rFonts w:ascii="Times New Roman" w:cs="Times New Roman" w:eastAsia="Times New Roman" w:hAnsi="Times New Roman"/>
          <w:sz w:val="18"/>
          <w:szCs w:val="18"/>
          <w:color w:val="auto"/>
        </w:rPr>
        <w:t>Assets and liabilities measured at fair value are classified in their entirety based on the lowest level of input that is significant to the fair value measurement. The Company’s assessment of the significance of a particular input to the fair value measurement in its entirety requires management to make judgments and consider factors specific to the asset or liability.</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Marketable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Management considers all highly liquid investments with original maturities of three months or less to be cash equivalents.</w:t>
      </w:r>
    </w:p>
    <w:p>
      <w:pPr>
        <w:spacing w:after="0" w:line="117"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Company’s marketable debt securities have been classified and accounted for as available-for-sale. The Company classifies its marketable debt securities as either short-term or long-term based on each instrument’s underlying contractual maturity date. Marketable debt securities with maturities of 12 months or less are classified as short-term and marketable debt securities with maturities greater than 12 months are classified as long-term. The Company’s marketable debt securities are carried at fair value, with unrealized gains and losses, net of taxes, reported as a component of accumulated other comprehensive loss in stockholders’ equity. Premiums and discounts on marketable debt securities are amortized into earnings over the life of the security and recorded on the interest income, net line of the income statement. For the three months ended March 31, 2025 and 2024, the Company recorded $840 and $1,628 of accretion, respectively.</w:t>
      </w:r>
    </w:p>
    <w:p>
      <w:pPr>
        <w:spacing w:after="0" w:line="2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Comprehensive Loss and Accumulated Other Comprehensive Income (Loss)</w:t>
      </w:r>
    </w:p>
    <w:p>
      <w:pPr>
        <w:spacing w:after="0" w:line="121"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Other comprehensive income (loss) is defined as the change in equity during a period from transactions and other events and circumstances from non-owner sources, including unrealized gains and losses on investments and foreign currency translation gains and losses.</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231F20"/>
        </w:rPr>
        <w:t>Leases</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At the inception of an arrangement, the Company determines whether the arrangement is or contains a lease based on the circumstances present. The Company accounts for a contract as a lease when it has the right to control the asset for a period of time while obtaining substantially all of the asset’s economic benefits. The Company determines the initial classification and</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0" w:name="page11"/>
    <w:bookmarkEnd w:id="1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6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measurement of its operating right-of-use (“ROU”) assets and operating lease liabilities at the lease commencement date, and thereafter if modified. The lease term includes any renewal options that the Company is reasonably assured to exercise. The Company’s policy is to not record leases with a lease term of 12 months or less on its balance sheets. The Company’s only existing leases are for office and laboratory space. Furthermore, the Company has elected to not separate lease and non-lease components by class of underlying asset for its existing leases. The Company’s only existing leases are for office and laboratory spaces.</w:t>
      </w:r>
    </w:p>
    <w:p>
      <w:pPr>
        <w:spacing w:after="0" w:line="75"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The ROU asset represents the right to use the leased asset for the lease term. The lease liability represents the present value of the lease payments under the lease. The present value of lease payments is determined by using the interest rate implicit in the lease, if that rate is readily determinable; otherwise, the Company uses its estimated secured incremental borrowing rate for that lease term.</w:t>
      </w:r>
    </w:p>
    <w:p>
      <w:pPr>
        <w:spacing w:after="0" w:line="68"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Lease expense for operating leases is recognized on a straight-line basis over the reasonably assured lease term based on the total lease payments and is included in operating expense in the statements of operations.</w:t>
      </w:r>
    </w:p>
    <w:p>
      <w:pPr>
        <w:spacing w:after="0" w:line="54"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Payments due under each lease agreement include fixed and variable payments. Variable payments relate to the Company’s share of the lessor’s operating costs associated with the underlying asset and are recognized when the event on which those payments are assessed occurs. Variable payments have been excluded from the lease liability and associated right-of-use asset. Neither of the Company’s leases contain residual value guarantees.</w:t>
      </w:r>
    </w:p>
    <w:p>
      <w:pPr>
        <w:spacing w:after="0" w:line="68"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The interest rate implicit in lease agreements is typically not readily determinable, and as such, the Company utilizes the incremental borrowing rate to calculate lease liabilities, which is the rate incurred to borrow on a collateralized basis over a similar term an amount equal to the lease payments in a similar economic environment.</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80" w:lineRule="exact"/>
        <w:rPr>
          <w:sz w:val="20"/>
          <w:szCs w:val="20"/>
          <w:color w:val="auto"/>
        </w:rPr>
      </w:pPr>
    </w:p>
    <w:p>
      <w:pPr>
        <w:ind w:right="20" w:firstLine="509"/>
        <w:spacing w:after="0" w:line="231" w:lineRule="exact"/>
        <w:rPr>
          <w:sz w:val="20"/>
          <w:szCs w:val="20"/>
          <w:color w:val="auto"/>
        </w:rPr>
      </w:pPr>
      <w:r>
        <w:rPr>
          <w:rFonts w:ascii="Times New Roman" w:cs="Times New Roman" w:eastAsia="Times New Roman" w:hAnsi="Times New Roman"/>
          <w:sz w:val="18"/>
          <w:szCs w:val="18"/>
          <w:color w:val="auto"/>
        </w:rPr>
        <w:t>Property and equipment are recorded at cost net of accumulated depreciation. Property and equipment are depreciated using the straight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line method over the estimated useful lives of the assets, generally five years, except for leasehold improvements, which are amortized over the shorter of the useful life of the asset or the remaining term of the lease. Upon retirement or sale of assets, the cost and related accumulated depreciation are removed from the balance sheet and the resulting gain or loss is reflected in operations. Repairs and maintenance costs are charged to operations as incurred.</w:t>
      </w:r>
    </w:p>
    <w:p>
      <w:pPr>
        <w:spacing w:after="0" w:line="30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 and Other Risks and Uncertainties</w:t>
      </w:r>
    </w:p>
    <w:p>
      <w:pPr>
        <w:spacing w:after="0" w:line="121"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significant concentrations of credit risk consist of cash, cash equivalents, and marketable securities. Cash and cash equivalents were held at primarily two financial institutions. At times, such deposits may be in excess of insured limits. The Company has not experienced any losses on its deposits of cash and cash equivalents. The Company’s marketable securities are carried at fair value and include any unrealized gains and losses. Any investments with unrealized losses are considered to be temporarily impaired.</w:t>
      </w:r>
    </w:p>
    <w:p>
      <w:pPr>
        <w:spacing w:after="0" w:line="72"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The Company’s future results of operations involve a number of risks and uncertainties. Factors that could affect the Company’s future operating results and cause actual results to vary materially from expectations include, but are not limited to, rapid technological change, uncertainty of market acceptance of the product, competition from substitute products and larger companies, protection of proprietary technology, any future strategic relationships and dependence on key individuals.</w:t>
      </w:r>
    </w:p>
    <w:p>
      <w:pPr>
        <w:spacing w:after="0" w:line="72"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Products developed by the Company require clearances from the U.S. Food and Drug Administration or other international regulatory agencies prior to commercial sales. There can be no assurance the Company’s product candidates will receive the necessary clearances. If the Company is denied clearance, clearance is delayed or it is unable to maintain clearance, it could have a materially adverse impact on the Company.</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Adoption of New Accounting Standard</w:t>
      </w:r>
    </w:p>
    <w:p>
      <w:pPr>
        <w:spacing w:after="0" w:line="121"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The Company adopted FASB ASU 2023-07, Segment Reporting (Topic 280)—Improvements to Reportable Segment Disclosures on December 31, 2024. This ASU requires interim and annual disclosure of significant segment expenses that are regularly provided to the chief operating decision-maker (“CODM”) and included within the reported measure of a segment’s profit or loss, requires interim disclosures about a reportable segment’s profit or loss and assets that are currently required annually, requires disclosure of the position and title of the CODM, clarifies circumstances in which an entity can disclose multiple segment measures of profit or loss, and contains other disclosure requirements. This authoritative guidance is effective</w:t>
      </w:r>
    </w:p>
    <w:p>
      <w:pPr>
        <w:spacing w:after="0" w:line="1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6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for annual periods beginning after December 15, 2023, and interim periods within fiscal years beginning after December 15, 2024. The requirements of this ASU are disclosure-related and did not have an impact on the Company’s condensed consolidated financial position and results of operations. See Note 13, Segment Information, for the updated segment disclosures as a result of adopting this ASU.</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2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ASU No. 2023-09, “Income Taxes (Topic 740): Improvements to Income Tax Disclosures.” This amended guidance applies to all entities and broadly aims to enhance the transparency and decision usefulness of income tax disclosures. For public business entities, the amendments in this ASU are effective for fiscal years beginning after December 15, 2024. The requirements of this ASU are disclosure-related and are not expected to have a material impact on the Company’s condensed consolidated financial statements.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3. Fair Value Measurements</w:t>
      </w:r>
    </w:p>
    <w:p>
      <w:pPr>
        <w:spacing w:after="0" w:line="121"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The Company’s financial instruments consist of money market funds, U.S. government debt securities and corporate debt securities. Cash and cash equivalents includes money market funds, which are measured at fair value on a recurring basis using quoted prices and are classified as Level 1. Marketable securities are measured at fair value based on inputs other than quoted prices that are derived from observable market data and are classified as Level 2 inputs, except for investments in U.S. treasury securities and certificates of deposit which are classified as Level 1. There were no Level 3 assets or liabilities at March 31, 2025.</w:t>
      </w:r>
    </w:p>
    <w:p>
      <w:pPr>
        <w:spacing w:after="0" w:line="75"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tables show the Company’s cash equivalents and available-for-sale securities’ carrying amounts and fair values as of March 31, 2025, and December 31, 2024:</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7"/>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w w:val="97"/>
              </w:rPr>
              <w:t>As of March 31, 2025</w:t>
            </w:r>
          </w:p>
        </w:tc>
        <w:tc>
          <w:tcPr>
            <w:tcW w:w="7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14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gridSpan w:val="3"/>
          </w:tcPr>
          <w:p>
            <w:pPr>
              <w:jc w:val="center"/>
              <w:ind w:right="320"/>
              <w:spacing w:after="0" w:line="118" w:lineRule="exact"/>
              <w:rPr>
                <w:sz w:val="20"/>
                <w:szCs w:val="20"/>
                <w:color w:val="auto"/>
              </w:rPr>
            </w:pPr>
            <w:r>
              <w:rPr>
                <w:rFonts w:ascii="Times New Roman" w:cs="Times New Roman" w:eastAsia="Times New Roman" w:hAnsi="Times New Roman"/>
                <w:sz w:val="13"/>
                <w:szCs w:val="13"/>
                <w:b w:val="1"/>
                <w:bCs w:val="1"/>
                <w:color w:val="auto"/>
              </w:rPr>
              <w:t>Quoted</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3"/>
          </w:tcPr>
          <w:p>
            <w:pPr>
              <w:jc w:val="center"/>
              <w:ind w:right="380"/>
              <w:spacing w:after="0" w:line="118" w:lineRule="exact"/>
              <w:rPr>
                <w:sz w:val="20"/>
                <w:szCs w:val="20"/>
                <w:color w:val="auto"/>
              </w:rPr>
            </w:pPr>
            <w:r>
              <w:rPr>
                <w:rFonts w:ascii="Times New Roman" w:cs="Times New Roman" w:eastAsia="Times New Roman" w:hAnsi="Times New Roman"/>
                <w:sz w:val="13"/>
                <w:szCs w:val="13"/>
                <w:b w:val="1"/>
                <w:bCs w:val="1"/>
                <w:color w:val="auto"/>
              </w:rPr>
              <w:t>Significant</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8"/>
        </w:trPr>
        <w:tc>
          <w:tcPr>
            <w:tcW w:w="11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3"/>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priced in</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3"/>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3"/>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active</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3"/>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40" w:type="dxa"/>
            <w:vAlign w:val="bottom"/>
          </w:tcPr>
          <w:p>
            <w:pPr>
              <w:spacing w:after="0"/>
              <w:rPr>
                <w:sz w:val="12"/>
                <w:szCs w:val="12"/>
                <w:color w:val="auto"/>
              </w:rPr>
            </w:pPr>
          </w:p>
        </w:tc>
        <w:tc>
          <w:tcPr>
            <w:tcW w:w="110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8"/>
        </w:trPr>
        <w:tc>
          <w:tcPr>
            <w:tcW w:w="11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3"/>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3"/>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markets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3"/>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73"/>
        </w:trPr>
        <w:tc>
          <w:tcPr>
            <w:tcW w:w="11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5"/>
                <w:szCs w:val="15"/>
                <w:color w:val="auto"/>
              </w:rPr>
            </w:pPr>
          </w:p>
        </w:tc>
        <w:tc>
          <w:tcPr>
            <w:tcW w:w="8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69"/>
        </w:trPr>
        <w:tc>
          <w:tcPr>
            <w:tcW w:w="3060" w:type="dxa"/>
            <w:vAlign w:val="bottom"/>
            <w:gridSpan w:val="2"/>
            <w:shd w:val="clear" w:color="auto" w:fill="CFF0FC"/>
          </w:tcPr>
          <w:p>
            <w:pPr>
              <w:spacing w:after="0" w:line="169" w:lineRule="exact"/>
              <w:rPr>
                <w:sz w:val="20"/>
                <w:szCs w:val="20"/>
                <w:color w:val="auto"/>
              </w:rPr>
            </w:pPr>
            <w:r>
              <w:rPr>
                <w:rFonts w:ascii="Times New Roman" w:cs="Times New Roman" w:eastAsia="Times New Roman" w:hAnsi="Times New Roman"/>
                <w:sz w:val="18"/>
                <w:szCs w:val="18"/>
                <w:color w:val="auto"/>
              </w:rPr>
              <w:t>Financial assets</w:t>
            </w:r>
          </w:p>
        </w:tc>
        <w:tc>
          <w:tcPr>
            <w:tcW w:w="140" w:type="dxa"/>
            <w:vAlign w:val="bottom"/>
            <w:tcBorders>
              <w:top w:val="single" w:sz="8" w:color="auto"/>
            </w:tcBorders>
            <w:shd w:val="clear" w:color="auto" w:fill="CFF0FC"/>
          </w:tcPr>
          <w:p>
            <w:pPr>
              <w:spacing w:after="0"/>
              <w:rPr>
                <w:sz w:val="14"/>
                <w:szCs w:val="14"/>
                <w:color w:val="auto"/>
              </w:rPr>
            </w:pPr>
          </w:p>
        </w:tc>
        <w:tc>
          <w:tcPr>
            <w:tcW w:w="780" w:type="dxa"/>
            <w:vAlign w:val="bottom"/>
            <w:tcBorders>
              <w:top w:val="single" w:sz="8" w:color="auto"/>
            </w:tcBorders>
            <w:shd w:val="clear" w:color="auto" w:fill="CFF0FC"/>
          </w:tcPr>
          <w:p>
            <w:pPr>
              <w:spacing w:after="0"/>
              <w:rPr>
                <w:sz w:val="14"/>
                <w:szCs w:val="14"/>
                <w:color w:val="auto"/>
              </w:rPr>
            </w:pPr>
          </w:p>
        </w:tc>
        <w:tc>
          <w:tcPr>
            <w:tcW w:w="260" w:type="dxa"/>
            <w:vAlign w:val="bottom"/>
            <w:tcBorders>
              <w:left w:val="single" w:sz="8" w:color="CFF0FC"/>
              <w:right w:val="single" w:sz="8" w:color="CFF0FC"/>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760" w:type="dxa"/>
            <w:vAlign w:val="bottom"/>
            <w:tcBorders>
              <w:top w:val="single" w:sz="8" w:color="auto"/>
            </w:tcBorders>
            <w:shd w:val="clear" w:color="auto" w:fill="CFF0FC"/>
          </w:tcPr>
          <w:p>
            <w:pPr>
              <w:spacing w:after="0"/>
              <w:rPr>
                <w:sz w:val="14"/>
                <w:szCs w:val="14"/>
                <w:color w:val="auto"/>
              </w:rPr>
            </w:pPr>
          </w:p>
        </w:tc>
        <w:tc>
          <w:tcPr>
            <w:tcW w:w="80" w:type="dxa"/>
            <w:vAlign w:val="bottom"/>
            <w:tcBorders>
              <w:top w:val="single" w:sz="8" w:color="auto"/>
            </w:tcBorders>
            <w:shd w:val="clear" w:color="auto" w:fill="CFF0FC"/>
          </w:tcPr>
          <w:p>
            <w:pPr>
              <w:spacing w:after="0"/>
              <w:rPr>
                <w:sz w:val="14"/>
                <w:szCs w:val="14"/>
                <w:color w:val="auto"/>
              </w:rPr>
            </w:pPr>
          </w:p>
        </w:tc>
        <w:tc>
          <w:tcPr>
            <w:tcW w:w="140" w:type="dxa"/>
            <w:vAlign w:val="bottom"/>
            <w:tcBorders>
              <w:lef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740" w:type="dxa"/>
            <w:vAlign w:val="bottom"/>
            <w:tcBorders>
              <w:top w:val="single" w:sz="8" w:color="auto"/>
            </w:tcBorders>
            <w:shd w:val="clear" w:color="auto" w:fill="CFF0FC"/>
          </w:tcPr>
          <w:p>
            <w:pPr>
              <w:spacing w:after="0"/>
              <w:rPr>
                <w:sz w:val="14"/>
                <w:szCs w:val="14"/>
                <w:color w:val="auto"/>
              </w:rPr>
            </w:pPr>
          </w:p>
        </w:tc>
        <w:tc>
          <w:tcPr>
            <w:tcW w:w="80" w:type="dxa"/>
            <w:vAlign w:val="bottom"/>
            <w:tcBorders>
              <w:top w:val="single" w:sz="8" w:color="auto"/>
            </w:tcBorders>
            <w:shd w:val="clear" w:color="auto" w:fill="CFF0FC"/>
          </w:tcPr>
          <w:p>
            <w:pPr>
              <w:spacing w:after="0"/>
              <w:rPr>
                <w:sz w:val="14"/>
                <w:szCs w:val="14"/>
                <w:color w:val="auto"/>
              </w:rPr>
            </w:pPr>
          </w:p>
        </w:tc>
        <w:tc>
          <w:tcPr>
            <w:tcW w:w="12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700" w:type="dxa"/>
            <w:vAlign w:val="bottom"/>
            <w:tcBorders>
              <w:top w:val="single" w:sz="8" w:color="auto"/>
            </w:tcBorders>
            <w:shd w:val="clear" w:color="auto" w:fill="CFF0FC"/>
          </w:tcPr>
          <w:p>
            <w:pPr>
              <w:spacing w:after="0"/>
              <w:rPr>
                <w:sz w:val="14"/>
                <w:szCs w:val="14"/>
                <w:color w:val="auto"/>
              </w:rPr>
            </w:pPr>
          </w:p>
        </w:tc>
        <w:tc>
          <w:tcPr>
            <w:tcW w:w="80" w:type="dxa"/>
            <w:vAlign w:val="bottom"/>
            <w:tcBorders>
              <w:top w:val="single" w:sz="8" w:color="auto"/>
            </w:tcBorders>
            <w:shd w:val="clear" w:color="auto" w:fill="CFF0FC"/>
          </w:tcPr>
          <w:p>
            <w:pPr>
              <w:spacing w:after="0"/>
              <w:rPr>
                <w:sz w:val="14"/>
                <w:szCs w:val="14"/>
                <w:color w:val="auto"/>
              </w:rPr>
            </w:pPr>
          </w:p>
        </w:tc>
        <w:tc>
          <w:tcPr>
            <w:tcW w:w="140" w:type="dxa"/>
            <w:vAlign w:val="bottom"/>
            <w:tcBorders>
              <w:left w:val="single" w:sz="8" w:color="CFF0FC"/>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700" w:type="dxa"/>
            <w:vAlign w:val="bottom"/>
            <w:tcBorders>
              <w:top w:val="single" w:sz="8" w:color="auto"/>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tcBorders>
              <w:right w:val="single" w:sz="8" w:color="CFF0FC"/>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820" w:type="dxa"/>
            <w:vAlign w:val="bottom"/>
            <w:tcBorders>
              <w:top w:val="single" w:sz="8" w:color="auto"/>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80" w:type="dxa"/>
            <w:vAlign w:val="bottom"/>
            <w:tcBorders>
              <w:top w:val="single" w:sz="8" w:color="auto"/>
            </w:tcBorders>
            <w:shd w:val="clear" w:color="auto" w:fill="CFF0FC"/>
          </w:tcPr>
          <w:p>
            <w:pPr>
              <w:spacing w:after="0"/>
              <w:rPr>
                <w:sz w:val="14"/>
                <w:szCs w:val="14"/>
                <w:color w:val="auto"/>
              </w:rPr>
            </w:pPr>
          </w:p>
        </w:tc>
        <w:tc>
          <w:tcPr>
            <w:tcW w:w="900" w:type="dxa"/>
            <w:vAlign w:val="bottom"/>
            <w:tcBorders>
              <w:top w:val="single" w:sz="8" w:color="auto"/>
            </w:tcBorders>
            <w:shd w:val="clear" w:color="auto" w:fill="CFF0FC"/>
          </w:tcPr>
          <w:p>
            <w:pPr>
              <w:spacing w:after="0"/>
              <w:rPr>
                <w:sz w:val="14"/>
                <w:szCs w:val="14"/>
                <w:color w:val="auto"/>
              </w:rPr>
            </w:pPr>
          </w:p>
        </w:tc>
        <w:tc>
          <w:tcPr>
            <w:tcW w:w="120" w:type="dxa"/>
            <w:vAlign w:val="bottom"/>
            <w:tcBorders>
              <w:left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140" w:type="dxa"/>
            <w:vAlign w:val="bottom"/>
            <w:tcBorders>
              <w:top w:val="single" w:sz="8" w:color="auto"/>
            </w:tcBorders>
            <w:shd w:val="clear" w:color="auto" w:fill="CFF0FC"/>
          </w:tcPr>
          <w:p>
            <w:pPr>
              <w:spacing w:after="0" w:line="20" w:lineRule="exact"/>
              <w:rPr>
                <w:sz w:val="1"/>
                <w:szCs w:val="1"/>
                <w:color w:val="auto"/>
              </w:rPr>
            </w:pPr>
          </w:p>
        </w:tc>
        <w:tc>
          <w:tcPr>
            <w:tcW w:w="19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left w:val="single" w:sz="8" w:color="CFF0FC"/>
              <w:right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7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left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7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7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left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7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left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51,261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51,261</w:t>
            </w:r>
          </w:p>
        </w:tc>
        <w:tc>
          <w:tcPr>
            <w:tcW w:w="3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51,261</w:t>
            </w:r>
          </w:p>
        </w:tc>
        <w:tc>
          <w:tcPr>
            <w:tcW w:w="8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tcPr>
          <w:p>
            <w:pPr>
              <w:spacing w:after="0"/>
              <w:rPr>
                <w:sz w:val="18"/>
                <w:szCs w:val="18"/>
                <w:color w:val="auto"/>
              </w:rPr>
            </w:pPr>
          </w:p>
        </w:tc>
        <w:tc>
          <w:tcPr>
            <w:tcW w:w="102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0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Corporate securities</w:t>
            </w:r>
          </w:p>
        </w:tc>
        <w:tc>
          <w:tcPr>
            <w:tcW w:w="140" w:type="dxa"/>
            <w:vAlign w:val="bottom"/>
            <w:shd w:val="clear" w:color="auto" w:fill="CFF0FC"/>
          </w:tcPr>
          <w:p>
            <w:pPr>
              <w:spacing w:after="0"/>
              <w:rPr>
                <w:sz w:val="18"/>
                <w:szCs w:val="18"/>
                <w:color w:val="auto"/>
              </w:rPr>
            </w:pPr>
          </w:p>
        </w:tc>
        <w:tc>
          <w:tcPr>
            <w:tcW w:w="1040" w:type="dxa"/>
            <w:vAlign w:val="bottom"/>
            <w:tcBorders>
              <w:right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37,503</w:t>
            </w:r>
          </w:p>
        </w:tc>
        <w:tc>
          <w:tcPr>
            <w:tcW w:w="12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Borders>
              <w:lef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tcBorders>
              <w:right w:val="single" w:sz="8" w:color="CFF0FC"/>
            </w:tcBorders>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37,501</w:t>
            </w:r>
          </w:p>
        </w:tc>
        <w:tc>
          <w:tcPr>
            <w:tcW w:w="140" w:type="dxa"/>
            <w:vAlign w:val="bottom"/>
            <w:tcBorders>
              <w:left w:val="single" w:sz="8" w:color="CFF0FC"/>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1,698</w:t>
            </w:r>
          </w:p>
        </w:tc>
        <w:tc>
          <w:tcPr>
            <w:tcW w:w="80" w:type="dxa"/>
            <w:vAlign w:val="bottom"/>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35,803</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Government securities</w:t>
            </w:r>
          </w:p>
        </w:tc>
        <w:tc>
          <w:tcPr>
            <w:tcW w:w="14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76,901</w:t>
            </w:r>
          </w:p>
        </w:tc>
        <w:tc>
          <w:tcPr>
            <w:tcW w:w="12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76,981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57,665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19,316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30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financial assets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right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165,665</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40" w:type="dxa"/>
            <w:vAlign w:val="bottom"/>
            <w:tcBorders>
              <w:lef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right w:val="single" w:sz="8" w:color="CFF0FC"/>
            </w:tcBorders>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(24)</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165,743</w:t>
            </w:r>
          </w:p>
        </w:tc>
        <w:tc>
          <w:tcPr>
            <w:tcW w:w="360" w:type="dxa"/>
            <w:vAlign w:val="bottom"/>
            <w:tcBorders>
              <w:left w:val="single" w:sz="8" w:color="CFF0FC"/>
            </w:tcBorders>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110,624</w:t>
            </w:r>
          </w:p>
        </w:tc>
        <w:tc>
          <w:tcPr>
            <w:tcW w:w="8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55,119</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140" w:type="dxa"/>
            <w:vAlign w:val="bottom"/>
            <w:tcBorders>
              <w:top w:val="single" w:sz="8" w:color="CFF0FC"/>
            </w:tcBorders>
            <w:shd w:val="clear" w:color="auto" w:fill="CFF0FC"/>
          </w:tcPr>
          <w:p>
            <w:pPr>
              <w:spacing w:after="0" w:line="20" w:lineRule="exact"/>
              <w:rPr>
                <w:sz w:val="1"/>
                <w:szCs w:val="1"/>
                <w:color w:val="auto"/>
              </w:rPr>
            </w:pPr>
          </w:p>
        </w:tc>
        <w:tc>
          <w:tcPr>
            <w:tcW w:w="19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left w:val="single" w:sz="8" w:color="auto"/>
              <w:right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left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left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left w:val="single" w:sz="8" w:color="auto"/>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1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9"/>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7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114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gridSpan w:val="3"/>
          </w:tcPr>
          <w:p>
            <w:pPr>
              <w:jc w:val="center"/>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Quoted</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3"/>
          </w:tcPr>
          <w:p>
            <w:pPr>
              <w:jc w:val="center"/>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Significant</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9"/>
        </w:trPr>
        <w:tc>
          <w:tcPr>
            <w:tcW w:w="11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3"/>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Priced in</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3"/>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Active</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40" w:type="dxa"/>
            <w:vAlign w:val="bottom"/>
          </w:tcPr>
          <w:p>
            <w:pPr>
              <w:spacing w:after="0"/>
              <w:rPr>
                <w:sz w:val="12"/>
                <w:szCs w:val="12"/>
                <w:color w:val="auto"/>
              </w:rPr>
            </w:pPr>
          </w:p>
        </w:tc>
        <w:tc>
          <w:tcPr>
            <w:tcW w:w="110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8"/>
        </w:trPr>
        <w:tc>
          <w:tcPr>
            <w:tcW w:w="11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96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4"/>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3"/>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Markets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73"/>
        </w:trPr>
        <w:tc>
          <w:tcPr>
            <w:tcW w:w="11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5"/>
                <w:szCs w:val="15"/>
                <w:color w:val="auto"/>
              </w:rPr>
            </w:pPr>
          </w:p>
        </w:tc>
        <w:tc>
          <w:tcPr>
            <w:tcW w:w="8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69"/>
        </w:trPr>
        <w:tc>
          <w:tcPr>
            <w:tcW w:w="3060" w:type="dxa"/>
            <w:vAlign w:val="bottom"/>
            <w:gridSpan w:val="2"/>
            <w:shd w:val="clear" w:color="auto" w:fill="CFF0FC"/>
          </w:tcPr>
          <w:p>
            <w:pPr>
              <w:spacing w:after="0" w:line="169" w:lineRule="exact"/>
              <w:rPr>
                <w:sz w:val="20"/>
                <w:szCs w:val="20"/>
                <w:color w:val="auto"/>
              </w:rPr>
            </w:pPr>
            <w:r>
              <w:rPr>
                <w:rFonts w:ascii="Times New Roman" w:cs="Times New Roman" w:eastAsia="Times New Roman" w:hAnsi="Times New Roman"/>
                <w:sz w:val="18"/>
                <w:szCs w:val="18"/>
                <w:color w:val="auto"/>
              </w:rPr>
              <w:t>Financial assets</w:t>
            </w:r>
          </w:p>
        </w:tc>
        <w:tc>
          <w:tcPr>
            <w:tcW w:w="140" w:type="dxa"/>
            <w:vAlign w:val="bottom"/>
            <w:tcBorders>
              <w:top w:val="single" w:sz="8" w:color="auto"/>
            </w:tcBorders>
            <w:shd w:val="clear" w:color="auto" w:fill="CFF0FC"/>
          </w:tcPr>
          <w:p>
            <w:pPr>
              <w:spacing w:after="0"/>
              <w:rPr>
                <w:sz w:val="14"/>
                <w:szCs w:val="14"/>
                <w:color w:val="auto"/>
              </w:rPr>
            </w:pPr>
          </w:p>
        </w:tc>
        <w:tc>
          <w:tcPr>
            <w:tcW w:w="780" w:type="dxa"/>
            <w:vAlign w:val="bottom"/>
            <w:tcBorders>
              <w:top w:val="single" w:sz="8" w:color="auto"/>
            </w:tcBorders>
            <w:shd w:val="clear" w:color="auto" w:fill="CFF0FC"/>
          </w:tcPr>
          <w:p>
            <w:pPr>
              <w:spacing w:after="0"/>
              <w:rPr>
                <w:sz w:val="14"/>
                <w:szCs w:val="14"/>
                <w:color w:val="auto"/>
              </w:rPr>
            </w:pPr>
          </w:p>
        </w:tc>
        <w:tc>
          <w:tcPr>
            <w:tcW w:w="260" w:type="dxa"/>
            <w:vAlign w:val="bottom"/>
            <w:tcBorders>
              <w:left w:val="single" w:sz="8" w:color="CFF0FC"/>
              <w:right w:val="single" w:sz="8" w:color="CFF0FC"/>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760" w:type="dxa"/>
            <w:vAlign w:val="bottom"/>
            <w:tcBorders>
              <w:top w:val="single" w:sz="8" w:color="auto"/>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tcBorders>
              <w:left w:val="single" w:sz="8" w:color="CFF0FC"/>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740" w:type="dxa"/>
            <w:vAlign w:val="bottom"/>
            <w:tcBorders>
              <w:top w:val="single" w:sz="8" w:color="auto"/>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tcBorders>
              <w:right w:val="single" w:sz="8" w:color="CFF0FC"/>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700" w:type="dxa"/>
            <w:vAlign w:val="bottom"/>
            <w:tcBorders>
              <w:top w:val="single" w:sz="8" w:color="auto"/>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tcBorders>
              <w:left w:val="single" w:sz="8" w:color="CFF0FC"/>
            </w:tcBorders>
            <w:shd w:val="clear" w:color="auto" w:fill="CFF0FC"/>
          </w:tcPr>
          <w:p>
            <w:pPr>
              <w:spacing w:after="0"/>
              <w:rPr>
                <w:sz w:val="14"/>
                <w:szCs w:val="14"/>
                <w:color w:val="auto"/>
              </w:rPr>
            </w:pPr>
          </w:p>
        </w:tc>
        <w:tc>
          <w:tcPr>
            <w:tcW w:w="80" w:type="dxa"/>
            <w:vAlign w:val="bottom"/>
            <w:tcBorders>
              <w:top w:val="single" w:sz="8" w:color="auto"/>
            </w:tcBorders>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700" w:type="dxa"/>
            <w:vAlign w:val="bottom"/>
            <w:tcBorders>
              <w:top w:val="single" w:sz="8" w:color="auto"/>
            </w:tcBorders>
            <w:shd w:val="clear" w:color="auto" w:fill="CFF0FC"/>
          </w:tcPr>
          <w:p>
            <w:pPr>
              <w:spacing w:after="0"/>
              <w:rPr>
                <w:sz w:val="14"/>
                <w:szCs w:val="14"/>
                <w:color w:val="auto"/>
              </w:rPr>
            </w:pPr>
          </w:p>
        </w:tc>
        <w:tc>
          <w:tcPr>
            <w:tcW w:w="80" w:type="dxa"/>
            <w:vAlign w:val="bottom"/>
            <w:tcBorders>
              <w:top w:val="single" w:sz="8" w:color="auto"/>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tcBorders>
              <w:right w:val="single" w:sz="8" w:color="CFF0FC"/>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820" w:type="dxa"/>
            <w:vAlign w:val="bottom"/>
            <w:tcBorders>
              <w:top w:val="single" w:sz="8" w:color="auto"/>
            </w:tcBorders>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tcBorders>
              <w:top w:val="single" w:sz="8" w:color="auto"/>
            </w:tcBorders>
            <w:shd w:val="clear" w:color="auto" w:fill="CFF0FC"/>
          </w:tcPr>
          <w:p>
            <w:pPr>
              <w:spacing w:after="0"/>
              <w:rPr>
                <w:sz w:val="14"/>
                <w:szCs w:val="14"/>
                <w:color w:val="auto"/>
              </w:rPr>
            </w:pPr>
          </w:p>
        </w:tc>
        <w:tc>
          <w:tcPr>
            <w:tcW w:w="900" w:type="dxa"/>
            <w:vAlign w:val="bottom"/>
            <w:tcBorders>
              <w:top w:val="single" w:sz="8" w:color="auto"/>
            </w:tcBorders>
            <w:shd w:val="clear" w:color="auto" w:fill="CFF0FC"/>
          </w:tcPr>
          <w:p>
            <w:pPr>
              <w:spacing w:after="0"/>
              <w:rPr>
                <w:sz w:val="14"/>
                <w:szCs w:val="14"/>
                <w:color w:val="auto"/>
              </w:rPr>
            </w:pPr>
          </w:p>
        </w:tc>
        <w:tc>
          <w:tcPr>
            <w:tcW w:w="120" w:type="dxa"/>
            <w:vAlign w:val="bottom"/>
            <w:tcBorders>
              <w:left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tcBorders>
              <w:top w:val="single" w:sz="8" w:color="auto"/>
            </w:tcBorders>
            <w:shd w:val="clear" w:color="auto" w:fill="CFF0FC"/>
          </w:tcPr>
          <w:p>
            <w:pPr>
              <w:spacing w:after="0" w:line="20" w:lineRule="exact"/>
              <w:rPr>
                <w:sz w:val="1"/>
                <w:szCs w:val="1"/>
                <w:color w:val="auto"/>
              </w:rPr>
            </w:pPr>
          </w:p>
        </w:tc>
        <w:tc>
          <w:tcPr>
            <w:tcW w:w="19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left w:val="single" w:sz="8" w:color="CFF0FC"/>
              <w:right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7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left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7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7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left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7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left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40,790</w:t>
            </w:r>
          </w:p>
        </w:tc>
        <w:tc>
          <w:tcPr>
            <w:tcW w:w="260" w:type="dxa"/>
            <w:vAlign w:val="bottom"/>
          </w:tcPr>
          <w:p>
            <w:pPr>
              <w:spacing w:after="0"/>
              <w:rPr>
                <w:sz w:val="18"/>
                <w:szCs w:val="18"/>
                <w:color w:val="auto"/>
              </w:rPr>
            </w:pPr>
          </w:p>
        </w:tc>
        <w:tc>
          <w:tcPr>
            <w:tcW w:w="120" w:type="dxa"/>
            <w:vAlign w:val="bottom"/>
          </w:tcPr>
          <w:p>
            <w:pPr>
              <w:jc w:val="right"/>
              <w:ind w:right="21"/>
              <w:spacing w:after="0"/>
              <w:rPr>
                <w:sz w:val="20"/>
                <w:szCs w:val="20"/>
                <w:color w:val="auto"/>
              </w:rPr>
            </w:pPr>
            <w:r>
              <w:rPr>
                <w:rFonts w:ascii="Times New Roman" w:cs="Times New Roman" w:eastAsia="Times New Roman" w:hAnsi="Times New Roman"/>
                <w:sz w:val="4"/>
                <w:szCs w:val="4"/>
                <w:color w:val="auto"/>
                <w:w w:val="97"/>
              </w:rPr>
              <w:t>$</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40,790</w:t>
            </w:r>
          </w:p>
        </w:tc>
        <w:tc>
          <w:tcPr>
            <w:tcW w:w="3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40,790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0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Corporate securities</w:t>
            </w: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32,941</w:t>
            </w:r>
          </w:p>
        </w:tc>
        <w:tc>
          <w:tcPr>
            <w:tcW w:w="260" w:type="dxa"/>
            <w:vAlign w:val="bottom"/>
            <w:tcBorders>
              <w:left w:val="single" w:sz="8" w:color="CFF0FC"/>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34</w:t>
            </w:r>
          </w:p>
        </w:tc>
        <w:tc>
          <w:tcPr>
            <w:tcW w:w="140" w:type="dxa"/>
            <w:vAlign w:val="bottom"/>
            <w:tcBorders>
              <w:lef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32,949</w:t>
            </w:r>
          </w:p>
        </w:tc>
        <w:tc>
          <w:tcPr>
            <w:tcW w:w="140" w:type="dxa"/>
            <w:vAlign w:val="bottom"/>
            <w:tcBorders>
              <w:left w:val="single" w:sz="8" w:color="CFF0FC"/>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2,148</w:t>
            </w:r>
          </w:p>
        </w:tc>
        <w:tc>
          <w:tcPr>
            <w:tcW w:w="14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30,801</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Government securities</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109,341</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109,472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73,339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36,133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0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financial assets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183,072</w:t>
            </w:r>
          </w:p>
        </w:tc>
        <w:tc>
          <w:tcPr>
            <w:tcW w:w="260" w:type="dxa"/>
            <w:vAlign w:val="bottom"/>
            <w:tcBorders>
              <w:left w:val="single" w:sz="8" w:color="CFF0FC"/>
              <w:right w:val="single" w:sz="8" w:color="CFF0FC"/>
            </w:tcBorders>
            <w:shd w:val="clear" w:color="auto" w:fill="CFF0FC"/>
          </w:tcPr>
          <w:p>
            <w:pPr>
              <w:spacing w:after="0"/>
              <w:rPr>
                <w:sz w:val="19"/>
                <w:szCs w:val="19"/>
                <w:color w:val="auto"/>
              </w:rPr>
            </w:pPr>
          </w:p>
        </w:tc>
        <w:tc>
          <w:tcPr>
            <w:tcW w:w="120" w:type="dxa"/>
            <w:vAlign w:val="bottom"/>
            <w:shd w:val="clear" w:color="auto" w:fill="CFF0FC"/>
          </w:tcPr>
          <w:p>
            <w:pPr>
              <w:jc w:val="right"/>
              <w:ind w:right="21"/>
              <w:spacing w:after="0"/>
              <w:rPr>
                <w:sz w:val="20"/>
                <w:szCs w:val="20"/>
                <w:color w:val="auto"/>
              </w:rPr>
            </w:pPr>
            <w:r>
              <w:rPr>
                <w:rFonts w:ascii="Times New Roman" w:cs="Times New Roman" w:eastAsia="Times New Roman" w:hAnsi="Times New Roman"/>
                <w:sz w:val="4"/>
                <w:szCs w:val="4"/>
                <w:color w:val="auto"/>
                <w:w w:val="97"/>
              </w:rPr>
              <w:t>$</w:t>
            </w:r>
          </w:p>
        </w:tc>
        <w:tc>
          <w:tcPr>
            <w:tcW w:w="8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187</w:t>
            </w:r>
          </w:p>
        </w:tc>
        <w:tc>
          <w:tcPr>
            <w:tcW w:w="240" w:type="dxa"/>
            <w:vAlign w:val="bottom"/>
            <w:tcBorders>
              <w:lef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183,211</w:t>
            </w:r>
          </w:p>
        </w:tc>
        <w:tc>
          <w:tcPr>
            <w:tcW w:w="360" w:type="dxa"/>
            <w:vAlign w:val="bottom"/>
            <w:tcBorders>
              <w:left w:val="single" w:sz="8" w:color="CFF0FC"/>
            </w:tcBorders>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116,277</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66,934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140" w:type="dxa"/>
            <w:vAlign w:val="bottom"/>
            <w:tcBorders>
              <w:top w:val="single" w:sz="8" w:color="CFF0FC"/>
            </w:tcBorders>
            <w:shd w:val="clear" w:color="auto" w:fill="CFF0FC"/>
          </w:tcPr>
          <w:p>
            <w:pPr>
              <w:spacing w:after="0" w:line="20" w:lineRule="exact"/>
              <w:rPr>
                <w:sz w:val="1"/>
                <w:szCs w:val="1"/>
                <w:color w:val="auto"/>
              </w:rPr>
            </w:pPr>
          </w:p>
        </w:tc>
        <w:tc>
          <w:tcPr>
            <w:tcW w:w="19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left w:val="single" w:sz="8" w:color="CFF0FC"/>
              <w:right w:val="single" w:sz="8" w:color="auto"/>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left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left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left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2542540</wp:posOffset>
            </wp:positionH>
            <wp:positionV relativeFrom="paragraph">
              <wp:posOffset>-1473835</wp:posOffset>
            </wp:positionV>
            <wp:extent cx="7683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-1456690</wp:posOffset>
            </wp:positionV>
            <wp:extent cx="7683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-1473835</wp:posOffset>
            </wp:positionV>
            <wp:extent cx="7683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-1456690</wp:posOffset>
            </wp:positionV>
            <wp:extent cx="7683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-1473835</wp:posOffset>
            </wp:positionV>
            <wp:extent cx="685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-1456690</wp:posOffset>
            </wp:positionV>
            <wp:extent cx="685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-1473835</wp:posOffset>
            </wp:positionV>
            <wp:extent cx="685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-1456690</wp:posOffset>
            </wp:positionV>
            <wp:extent cx="685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-1473835</wp:posOffset>
            </wp:positionV>
            <wp:extent cx="685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-1456690</wp:posOffset>
            </wp:positionV>
            <wp:extent cx="685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-1473835</wp:posOffset>
            </wp:positionV>
            <wp:extent cx="685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-1456690</wp:posOffset>
            </wp:positionV>
            <wp:extent cx="685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-1473835</wp:posOffset>
            </wp:positionV>
            <wp:extent cx="685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-1456690</wp:posOffset>
            </wp:positionV>
            <wp:extent cx="685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2525395</wp:posOffset>
            </wp:positionH>
            <wp:positionV relativeFrom="paragraph">
              <wp:posOffset>-24765</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2525395</wp:posOffset>
            </wp:positionH>
            <wp:positionV relativeFrom="paragraph">
              <wp:posOffset>-8255</wp:posOffset>
            </wp:positionV>
            <wp:extent cx="685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-24765</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-8255</wp:posOffset>
            </wp:positionV>
            <wp:extent cx="685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-24765</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-8255</wp:posOffset>
            </wp:positionV>
            <wp:extent cx="685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-24765</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-8255</wp:posOffset>
            </wp:positionV>
            <wp:extent cx="685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-24765</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-8255</wp:posOffset>
            </wp:positionV>
            <wp:extent cx="685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-24765</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-8255</wp:posOffset>
            </wp:positionV>
            <wp:extent cx="685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20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Cash Equivalents </w:t>
      </w:r>
      <w:r>
        <w:rPr>
          <w:rFonts w:ascii="Times New Roman" w:cs="Times New Roman" w:eastAsia="Times New Roman" w:hAnsi="Times New Roman"/>
          <w:sz w:val="18"/>
          <w:szCs w:val="18"/>
          <w:color w:val="auto"/>
        </w:rPr>
        <w:t>— As of March 31, 2025, the Company had aggregate cash and cash equivalents of $51,341, including cash equivalents of</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$51,261, consisting of money market funds and corporate securities. As of December 31, 2024, the Company had aggregate cash and cash equivalents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$40,876, including cash equivalents of $40,790, consisting of money market funds.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62" w:lineRule="exact"/>
        <w:rPr>
          <w:sz w:val="20"/>
          <w:szCs w:val="20"/>
          <w:color w:val="auto"/>
        </w:rPr>
      </w:pPr>
    </w:p>
    <w:p>
      <w:pPr>
        <w:ind w:right="320" w:firstLine="50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Marketable Securities </w:t>
      </w:r>
      <w:r>
        <w:rPr>
          <w:rFonts w:ascii="Times New Roman" w:cs="Times New Roman" w:eastAsia="Times New Roman" w:hAnsi="Times New Roman"/>
          <w:sz w:val="18"/>
          <w:szCs w:val="18"/>
          <w:color w:val="auto"/>
        </w:rPr>
        <w:t>— Marketable securities of $114,482 as of March 31, 2025, consisted of corporate debt securities of $37,501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government debt securities of $76,981. There were $109,047 current marketable securities and $5,435 noncurrent marketable securities as of March 31, 2025. Marketable securities of $142,421 as of December 31, 2024, consisted of corporate debt securities of $32,949 and government debt securities of $109,472. There were $128,578 current marketable securities and $13,843 noncurrent marketable securities as of December 31, 2024.</w:t>
      </w:r>
    </w:p>
    <w:p>
      <w:pPr>
        <w:spacing w:after="0" w:line="72" w:lineRule="exact"/>
        <w:rPr>
          <w:sz w:val="20"/>
          <w:szCs w:val="20"/>
          <w:color w:val="auto"/>
        </w:rPr>
      </w:pPr>
    </w:p>
    <w:p>
      <w:pPr>
        <w:ind w:right="700" w:firstLine="509"/>
        <w:spacing w:after="0" w:line="282" w:lineRule="auto"/>
        <w:rPr>
          <w:sz w:val="20"/>
          <w:szCs w:val="20"/>
          <w:color w:val="auto"/>
        </w:rPr>
      </w:pPr>
      <w:r>
        <w:rPr>
          <w:rFonts w:ascii="Times New Roman" w:cs="Times New Roman" w:eastAsia="Times New Roman" w:hAnsi="Times New Roman"/>
          <w:sz w:val="18"/>
          <w:szCs w:val="18"/>
          <w:color w:val="auto"/>
        </w:rPr>
        <w:t>As of March 31, 2025, and December 31, 2024, aggregated gross unrealized losses of available-for-sale investments were not material, and accordingly, no allowance for credit losses was recorded.</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4. Property and Equipment, Net</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6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660" w:type="dxa"/>
            <w:vAlign w:val="bottom"/>
          </w:tcPr>
          <w:p>
            <w:pPr>
              <w:jc w:val="center"/>
              <w:ind w:left="56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20" w:type="dxa"/>
            <w:vAlign w:val="bottom"/>
            <w:gridSpan w:val="2"/>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4260" w:type="dxa"/>
            <w:vAlign w:val="bottom"/>
          </w:tcPr>
          <w:p>
            <w:pPr>
              <w:spacing w:after="0"/>
              <w:rPr>
                <w:sz w:val="15"/>
                <w:szCs w:val="15"/>
                <w:color w:val="auto"/>
              </w:rPr>
            </w:pPr>
          </w:p>
        </w:tc>
        <w:tc>
          <w:tcPr>
            <w:tcW w:w="3580" w:type="dxa"/>
            <w:vAlign w:val="bottom"/>
            <w:gridSpan w:val="2"/>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2025</w:t>
            </w:r>
          </w:p>
        </w:tc>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920" w:type="dxa"/>
            <w:vAlign w:val="bottom"/>
          </w:tcPr>
          <w:p>
            <w:pPr>
              <w:jc w:val="right"/>
              <w:ind w:right="9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209"/>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Machinery &amp; equipment</w:t>
            </w:r>
          </w:p>
        </w:tc>
        <w:tc>
          <w:tcPr>
            <w:tcW w:w="1920" w:type="dxa"/>
            <w:vAlign w:val="bottom"/>
            <w:shd w:val="clear" w:color="auto" w:fill="CFF0FC"/>
          </w:tcPr>
          <w:p>
            <w:pPr>
              <w:spacing w:after="0"/>
              <w:rPr>
                <w:sz w:val="18"/>
                <w:szCs w:val="18"/>
                <w:color w:val="auto"/>
              </w:rPr>
            </w:pPr>
          </w:p>
        </w:tc>
        <w:tc>
          <w:tcPr>
            <w:tcW w:w="166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1,565</w:t>
            </w:r>
          </w:p>
        </w:tc>
        <w:tc>
          <w:tcPr>
            <w:tcW w:w="300" w:type="dxa"/>
            <w:vAlign w:val="bottom"/>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1,782</w:t>
            </w:r>
          </w:p>
        </w:tc>
        <w:tc>
          <w:tcPr>
            <w:tcW w:w="100" w:type="dxa"/>
            <w:vAlign w:val="bottom"/>
            <w:shd w:val="clear" w:color="auto" w:fill="CFF0FC"/>
          </w:tcPr>
          <w:p>
            <w:pPr>
              <w:spacing w:after="0"/>
              <w:rPr>
                <w:sz w:val="18"/>
                <w:szCs w:val="18"/>
                <w:color w:val="auto"/>
              </w:rPr>
            </w:pP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Computers</w:t>
            </w:r>
          </w:p>
        </w:tc>
        <w:tc>
          <w:tcPr>
            <w:tcW w:w="19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8"/>
                <w:szCs w:val="18"/>
                <w:color w:val="auto"/>
              </w:rPr>
            </w:pPr>
          </w:p>
        </w:tc>
      </w:tr>
      <w:tr>
        <w:trPr>
          <w:trHeight w:val="216"/>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Furniture &amp; fixtures</w:t>
            </w:r>
          </w:p>
        </w:tc>
        <w:tc>
          <w:tcPr>
            <w:tcW w:w="192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3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FF0FC"/>
          </w:tcPr>
          <w:p>
            <w:pPr>
              <w:spacing w:after="0"/>
              <w:rPr>
                <w:sz w:val="18"/>
                <w:szCs w:val="18"/>
                <w:color w:val="auto"/>
              </w:rPr>
            </w:pP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920" w:type="dxa"/>
            <w:vAlign w:val="bottom"/>
          </w:tcPr>
          <w:p>
            <w:pPr>
              <w:spacing w:after="0"/>
              <w:rPr>
                <w:sz w:val="18"/>
                <w:szCs w:val="18"/>
                <w:color w:val="auto"/>
              </w:rPr>
            </w:pPr>
          </w:p>
        </w:tc>
        <w:tc>
          <w:tcPr>
            <w:tcW w:w="16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3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18"/>
                <w:szCs w:val="18"/>
                <w:color w:val="auto"/>
              </w:rPr>
            </w:pPr>
          </w:p>
        </w:tc>
      </w:tr>
      <w:tr>
        <w:trPr>
          <w:trHeight w:val="209"/>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192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1,667</w:t>
            </w:r>
          </w:p>
        </w:tc>
        <w:tc>
          <w:tcPr>
            <w:tcW w:w="3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1,869</w:t>
            </w:r>
          </w:p>
        </w:tc>
        <w:tc>
          <w:tcPr>
            <w:tcW w:w="100" w:type="dxa"/>
            <w:vAlign w:val="bottom"/>
            <w:shd w:val="clear" w:color="auto" w:fill="CFF0FC"/>
          </w:tcPr>
          <w:p>
            <w:pPr>
              <w:spacing w:after="0"/>
              <w:rPr>
                <w:sz w:val="18"/>
                <w:szCs w:val="18"/>
                <w:color w:val="auto"/>
              </w:rPr>
            </w:pP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9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(1,291)</w:t>
            </w:r>
          </w:p>
        </w:tc>
        <w:tc>
          <w:tcPr>
            <w:tcW w:w="420" w:type="dxa"/>
            <w:vAlign w:val="bottom"/>
          </w:tcPr>
          <w:p>
            <w:pPr>
              <w:spacing w:after="0"/>
              <w:rPr>
                <w:sz w:val="18"/>
                <w:szCs w:val="18"/>
                <w:color w:val="auto"/>
              </w:rPr>
            </w:pPr>
          </w:p>
        </w:tc>
        <w:tc>
          <w:tcPr>
            <w:tcW w:w="2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(1,460)</w:t>
            </w:r>
          </w:p>
        </w:tc>
      </w:tr>
      <w:tr>
        <w:trPr>
          <w:trHeight w:val="20"/>
        </w:trPr>
        <w:tc>
          <w:tcPr>
            <w:tcW w:w="42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580" w:type="dxa"/>
            <w:vAlign w:val="bottom"/>
            <w:gridSpan w:val="2"/>
            <w:shd w:val="clear" w:color="auto" w:fill="CFF0FC"/>
          </w:tcPr>
          <w:p>
            <w:pPr>
              <w:jc w:val="right"/>
              <w:ind w:right="1508"/>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30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100" w:type="dxa"/>
            <w:vAlign w:val="bottom"/>
            <w:shd w:val="clear" w:color="auto" w:fill="CFF0FC"/>
          </w:tcPr>
          <w:p>
            <w:pPr>
              <w:spacing w:after="0"/>
              <w:rPr>
                <w:sz w:val="19"/>
                <w:szCs w:val="19"/>
                <w:color w:val="auto"/>
              </w:rPr>
            </w:pPr>
          </w:p>
        </w:tc>
      </w:tr>
      <w:tr>
        <w:trPr>
          <w:trHeight w:val="20"/>
        </w:trPr>
        <w:tc>
          <w:tcPr>
            <w:tcW w:w="4260" w:type="dxa"/>
            <w:vAlign w:val="bottom"/>
            <w:tcBorders>
              <w:top w:val="single" w:sz="8" w:color="CFF0FC"/>
            </w:tcBorders>
            <w:shd w:val="clear" w:color="auto" w:fill="CFF0FC"/>
          </w:tcPr>
          <w:p>
            <w:pPr>
              <w:spacing w:after="0" w:line="20" w:lineRule="exact"/>
              <w:rPr>
                <w:sz w:val="1"/>
                <w:szCs w:val="1"/>
                <w:color w:val="auto"/>
              </w:rPr>
            </w:pPr>
          </w:p>
        </w:tc>
        <w:tc>
          <w:tcPr>
            <w:tcW w:w="1920" w:type="dxa"/>
            <w:vAlign w:val="bottom"/>
            <w:tcBorders>
              <w:top w:val="single" w:sz="8" w:color="CFF0FC"/>
            </w:tcBorders>
            <w:shd w:val="clear" w:color="auto" w:fill="CFF0FC"/>
          </w:tcPr>
          <w:p>
            <w:pPr>
              <w:spacing w:after="0" w:line="20" w:lineRule="exact"/>
              <w:rPr>
                <w:sz w:val="1"/>
                <w:szCs w:val="1"/>
                <w:color w:val="auto"/>
              </w:rPr>
            </w:pPr>
          </w:p>
        </w:tc>
        <w:tc>
          <w:tcPr>
            <w:tcW w:w="166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5396865</wp:posOffset>
            </wp:positionH>
            <wp:positionV relativeFrom="paragraph">
              <wp:posOffset>-24765</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-7620</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Company terminated a lease in October 2024 resulting in an abandonment and write-off of the leasehold improvements of $9,454. Refer to Note 6 for more details on the lease termination. Depreciation expense for the three months ended March 31, 2025 and 2024, was $37 and $362,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5. Accrued Expenses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Accrued expenses consist of the following:</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80" w:type="dxa"/>
            <w:vAlign w:val="bottom"/>
          </w:tcPr>
          <w:p>
            <w:pPr>
              <w:spacing w:after="0"/>
              <w:rPr>
                <w:sz w:val="13"/>
                <w:szCs w:val="13"/>
                <w:color w:val="auto"/>
              </w:rPr>
            </w:pPr>
          </w:p>
        </w:tc>
        <w:tc>
          <w:tcPr>
            <w:tcW w:w="1680" w:type="dxa"/>
            <w:vAlign w:val="bottom"/>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2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6180" w:type="dxa"/>
            <w:vAlign w:val="bottom"/>
          </w:tcPr>
          <w:p>
            <w:pPr>
              <w:spacing w:after="0"/>
              <w:rPr>
                <w:sz w:val="15"/>
                <w:szCs w:val="15"/>
                <w:color w:val="auto"/>
              </w:rPr>
            </w:pPr>
          </w:p>
        </w:tc>
        <w:tc>
          <w:tcPr>
            <w:tcW w:w="1680" w:type="dxa"/>
            <w:vAlign w:val="bottom"/>
            <w:tcBorders>
              <w:bottom w:val="single" w:sz="8" w:color="auto"/>
            </w:tcBorders>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2025</w:t>
            </w:r>
          </w:p>
        </w:tc>
        <w:tc>
          <w:tcPr>
            <w:tcW w:w="64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tcPr>
          <w:p>
            <w:pPr>
              <w:jc w:val="right"/>
              <w:ind w:right="9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210"/>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compensation</w:t>
            </w:r>
          </w:p>
        </w:tc>
        <w:tc>
          <w:tcPr>
            <w:tcW w:w="1680" w:type="dxa"/>
            <w:vAlign w:val="bottom"/>
            <w:shd w:val="clear" w:color="auto" w:fill="CFF0FC"/>
          </w:tcPr>
          <w:p>
            <w:pPr>
              <w:jc w:val="right"/>
              <w:ind w:right="1522"/>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2,777</w:t>
            </w:r>
          </w:p>
        </w:tc>
        <w:tc>
          <w:tcPr>
            <w:tcW w:w="72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5,005</w:t>
            </w:r>
          </w:p>
        </w:tc>
        <w:tc>
          <w:tcPr>
            <w:tcW w:w="100" w:type="dxa"/>
            <w:vAlign w:val="bottom"/>
            <w:shd w:val="clear" w:color="auto" w:fill="CFF0FC"/>
          </w:tcPr>
          <w:p>
            <w:pPr>
              <w:spacing w:after="0"/>
              <w:rPr>
                <w:sz w:val="18"/>
                <w:szCs w:val="18"/>
                <w:color w:val="auto"/>
              </w:rPr>
            </w:pP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Accrued research and development costs</w:t>
            </w:r>
          </w:p>
        </w:tc>
        <w:tc>
          <w:tcPr>
            <w:tcW w:w="16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2,857</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2,177</w:t>
            </w:r>
          </w:p>
        </w:tc>
        <w:tc>
          <w:tcPr>
            <w:tcW w:w="100" w:type="dxa"/>
            <w:vAlign w:val="bottom"/>
          </w:tcPr>
          <w:p>
            <w:pPr>
              <w:spacing w:after="0"/>
              <w:rPr>
                <w:sz w:val="18"/>
                <w:szCs w:val="18"/>
                <w:color w:val="auto"/>
              </w:rPr>
            </w:pPr>
          </w:p>
        </w:tc>
      </w:tr>
      <w:tr>
        <w:trPr>
          <w:trHeight w:val="216"/>
        </w:trPr>
        <w:tc>
          <w:tcPr>
            <w:tcW w:w="6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legal and professional services</w:t>
            </w:r>
          </w:p>
        </w:tc>
        <w:tc>
          <w:tcPr>
            <w:tcW w:w="168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30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1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680" w:type="dxa"/>
            <w:vAlign w:val="bottom"/>
          </w:tcPr>
          <w:p>
            <w:pPr>
              <w:jc w:val="right"/>
              <w:ind w:right="1522"/>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5,802</w:t>
            </w:r>
          </w:p>
        </w:tc>
        <w:tc>
          <w:tcPr>
            <w:tcW w:w="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7,439</w:t>
            </w:r>
          </w:p>
        </w:tc>
        <w:tc>
          <w:tcPr>
            <w:tcW w:w="100" w:type="dxa"/>
            <w:vAlign w:val="bottom"/>
          </w:tcPr>
          <w:p>
            <w:pPr>
              <w:spacing w:after="0"/>
              <w:rPr>
                <w:sz w:val="18"/>
                <w:szCs w:val="18"/>
                <w:color w:val="auto"/>
              </w:rPr>
            </w:pPr>
          </w:p>
        </w:tc>
      </w:tr>
      <w:tr>
        <w:trPr>
          <w:trHeight w:val="20"/>
        </w:trPr>
        <w:tc>
          <w:tcPr>
            <w:tcW w:w="618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5396865</wp:posOffset>
            </wp:positionH>
            <wp:positionV relativeFrom="paragraph">
              <wp:posOffset>-170815</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6. Commitments and Contingencies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12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In January 2021, the Company signed a lease for 50,581 square feet of office and laboratory space (the “Lease”) at One Research Way in Princeton, New Jersey (the “Premises”). The lease term initially extended through 2032, had a five-year extension option, and replaced the Company’s two prior facilities as the Company’s headquarters in March 2023. The Company estimated that payments under the Lease would be $19,889 through May 2032. The Company received a lease incentive of $4,046 from the lessor for a buildout of laboratory, vivarium, and office space. Management estimated the timing and amounts of reimbursements and included them as a reduction of lease payments when initially measuring the lease liability and right-of-use asset upon commencement. Since the inception date of the lease, $4,046 reimbursements were received from the lessor.</w:t>
      </w:r>
    </w:p>
    <w:p>
      <w:pPr>
        <w:spacing w:after="0" w:line="79"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In August 2024, the Company entered into a Lease Termination Agreement with BMR-One Research Way LLC (the “Landlord”), in connection with the termination of the Lease (the “Termination Agreement”). The Termination Agreement was contingent on the sale of the Premises by the Landlord to a prospective new buyer (the “Contingency”), which was met on October 1, 2024, and, as a result, there was no modification in August 2024.</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66"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Pursuant to the Termination Agreement, the Company surrendered the Premises in October 2024 and paid a total termination fee of approximately $1,420, consisting of (i) a cash payment in the amount of approximately $798 and (ii) a release of a security deposit from the Company’s existing letter of credit in the amount of approximately $622. The transaction was accounted for as an immediate termination of an operating lease before the expiration of the lease term in accordance with ASC 842. The Company derecognized the lease-related asset and liability resulting in a gain of $4,850. Since the termination fee of $1,420 was not already included in the lease payments, the termination fee was recognized as a loss on termination of the lease. Further, the Company abandoned and wrote-off all the related leasehold improvements totaling $9,454 held at the Premises. This net activity totaling $6,024 was recorded as a loss within General and Administrative expense in the Statement of Operations for the year ended December 31, 2024. As of March 31, 2025 and December 31, 2024 the Company has no commitments or contingencies related to the Lease.</w:t>
      </w:r>
    </w:p>
    <w:p>
      <w:pPr>
        <w:spacing w:after="0" w:line="84"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In August 2024, the Company signed a sublease for 14,201 square feet of office space at 400 Alexander Park Drive, Suite 301, in Princeton, New Jersey, to be used as its new headquarters (“400 Alexander Sublease”). The 400 Alexander Sublease commenced on October 1, 2024 and extends until February 28, 2027. Payment under the 400 Alexander Sublease will total $789 through February 2027.</w:t>
      </w:r>
    </w:p>
    <w:p>
      <w:pPr>
        <w:spacing w:after="0" w:line="68"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In September 2024, the Company signed a sublease agreement for 3,205 square feet of office and laboratory space at 311 Pennington Rocky Hill Road in Hopewell, New Jersey. The Company utilizes the premises as laboratory space for research and development activities. The sublease term extends through 2029 and provides the Company with the option to extend the term for an additional three year period. Payment under this sublease will total $768 through December 2029.</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components of lease cost for the three months ended March 31, 2025 and 2024, are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82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4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38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380" w:type="dxa"/>
            <w:vAlign w:val="bottom"/>
            <w:tcBorders>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94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ind w:right="9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09"/>
        </w:trPr>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3740" w:type="dxa"/>
            <w:vAlign w:val="bottom"/>
            <w:gridSpan w:val="2"/>
            <w:shd w:val="clear" w:color="auto" w:fill="CFF0FC"/>
          </w:tcPr>
          <w:p>
            <w:pPr>
              <w:jc w:val="right"/>
              <w:ind w:right="1228"/>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220" w:type="dxa"/>
            <w:vAlign w:val="bottom"/>
            <w:gridSpan w:val="2"/>
            <w:shd w:val="clear" w:color="auto" w:fill="CFF0FC"/>
          </w:tcPr>
          <w:p>
            <w:pPr>
              <w:jc w:val="right"/>
              <w:ind w:right="8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00" w:type="dxa"/>
            <w:vAlign w:val="bottom"/>
            <w:shd w:val="clear" w:color="auto" w:fill="CFF0FC"/>
          </w:tcPr>
          <w:p>
            <w:pPr>
              <w:spacing w:after="0"/>
              <w:rPr>
                <w:sz w:val="18"/>
                <w:szCs w:val="18"/>
                <w:color w:val="auto"/>
              </w:rPr>
            </w:pP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Variable lease cost</w:t>
            </w:r>
          </w:p>
        </w:tc>
        <w:tc>
          <w:tcPr>
            <w:tcW w:w="2360" w:type="dxa"/>
            <w:vAlign w:val="bottom"/>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30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Pr>
          <w:p>
            <w:pPr>
              <w:spacing w:after="0"/>
              <w:rPr>
                <w:sz w:val="18"/>
                <w:szCs w:val="18"/>
                <w:color w:val="auto"/>
              </w:rPr>
            </w:pPr>
          </w:p>
        </w:tc>
      </w:tr>
      <w:tr>
        <w:trPr>
          <w:trHeight w:val="230"/>
        </w:trPr>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lease cost</w:t>
            </w:r>
          </w:p>
        </w:tc>
        <w:tc>
          <w:tcPr>
            <w:tcW w:w="3740" w:type="dxa"/>
            <w:vAlign w:val="bottom"/>
            <w:gridSpan w:val="2"/>
            <w:shd w:val="clear" w:color="auto" w:fill="CFF0FC"/>
          </w:tcPr>
          <w:p>
            <w:pPr>
              <w:jc w:val="right"/>
              <w:ind w:right="1228"/>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220" w:type="dxa"/>
            <w:vAlign w:val="bottom"/>
            <w:gridSpan w:val="2"/>
            <w:shd w:val="clear" w:color="auto" w:fill="CFF0FC"/>
          </w:tcPr>
          <w:p>
            <w:pPr>
              <w:jc w:val="right"/>
              <w:ind w:right="8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100" w:type="dxa"/>
            <w:vAlign w:val="bottom"/>
            <w:shd w:val="clear" w:color="auto" w:fill="CFF0FC"/>
          </w:tcPr>
          <w:p>
            <w:pPr>
              <w:spacing w:after="0"/>
              <w:rPr>
                <w:sz w:val="19"/>
                <w:szCs w:val="19"/>
                <w:color w:val="auto"/>
              </w:rPr>
            </w:pPr>
          </w:p>
        </w:tc>
      </w:tr>
      <w:tr>
        <w:trPr>
          <w:trHeight w:val="20"/>
        </w:trPr>
        <w:tc>
          <w:tcPr>
            <w:tcW w:w="3820" w:type="dxa"/>
            <w:vAlign w:val="bottom"/>
            <w:tcBorders>
              <w:top w:val="single" w:sz="8" w:color="CFF0FC"/>
            </w:tcBorders>
            <w:shd w:val="clear" w:color="auto" w:fill="CFF0FC"/>
          </w:tcPr>
          <w:p>
            <w:pPr>
              <w:spacing w:after="0" w:line="20" w:lineRule="exact"/>
              <w:rPr>
                <w:sz w:val="1"/>
                <w:szCs w:val="1"/>
                <w:color w:val="auto"/>
              </w:rPr>
            </w:pPr>
          </w:p>
        </w:tc>
        <w:tc>
          <w:tcPr>
            <w:tcW w:w="2360" w:type="dxa"/>
            <w:vAlign w:val="bottom"/>
            <w:tcBorders>
              <w:top w:val="single" w:sz="8" w:color="CFF0FC"/>
            </w:tcBorders>
            <w:shd w:val="clear" w:color="auto" w:fill="CFF0FC"/>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5396865</wp:posOffset>
            </wp:positionH>
            <wp:positionV relativeFrom="paragraph">
              <wp:posOffset>-24765</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-7620</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Amounts reported in the balance sheet for leases where the Company is the lessee as of March 31, 2025, and December 31, 2024, are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8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3"/>
        </w:trPr>
        <w:tc>
          <w:tcPr>
            <w:tcW w:w="6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Operating Leases (in thousands, except lease term and discount rate data):</w:t>
            </w:r>
          </w:p>
        </w:tc>
        <w:tc>
          <w:tcPr>
            <w:tcW w:w="100" w:type="dxa"/>
            <w:vAlign w:val="bottom"/>
          </w:tcPr>
          <w:p>
            <w:pPr>
              <w:spacing w:after="0"/>
              <w:rPr>
                <w:sz w:val="15"/>
                <w:szCs w:val="15"/>
                <w:color w:val="auto"/>
              </w:rPr>
            </w:pPr>
          </w:p>
        </w:tc>
        <w:tc>
          <w:tcPr>
            <w:tcW w:w="1500" w:type="dxa"/>
            <w:vAlign w:val="bottom"/>
            <w:tcBorders>
              <w:bottom w:val="single" w:sz="8" w:color="auto"/>
            </w:tcBorders>
            <w:gridSpan w:val="2"/>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20" w:type="dxa"/>
            <w:vAlign w:val="bottom"/>
            <w:tcBorders>
              <w:bottom w:val="single" w:sz="8" w:color="auto"/>
            </w:tcBorders>
            <w:gridSpan w:val="2"/>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0"/>
        </w:trPr>
        <w:tc>
          <w:tcPr>
            <w:tcW w:w="6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Right-of-use assets, operating leases</w:t>
            </w:r>
          </w:p>
        </w:tc>
        <w:tc>
          <w:tcPr>
            <w:tcW w:w="1600" w:type="dxa"/>
            <w:vAlign w:val="bottom"/>
            <w:gridSpan w:val="3"/>
            <w:shd w:val="clear" w:color="auto" w:fill="CFF0FC"/>
          </w:tcPr>
          <w:p>
            <w:pPr>
              <w:jc w:val="right"/>
              <w:ind w:right="1348"/>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1,061</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740" w:type="dxa"/>
            <w:vAlign w:val="bottom"/>
            <w:gridSpan w:val="3"/>
            <w:shd w:val="clear" w:color="auto" w:fill="CFF0FC"/>
          </w:tcPr>
          <w:p>
            <w:pPr>
              <w:jc w:val="right"/>
              <w:ind w:right="154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1600" w:type="dxa"/>
            <w:vAlign w:val="bottom"/>
            <w:gridSpan w:val="3"/>
            <w:shd w:val="clear" w:color="auto" w:fill="CFF0FC"/>
          </w:tcPr>
          <w:p>
            <w:pPr>
              <w:jc w:val="right"/>
              <w:ind w:right="1348"/>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740" w:type="dxa"/>
            <w:vAlign w:val="bottom"/>
            <w:gridSpan w:val="3"/>
            <w:shd w:val="clear" w:color="auto" w:fill="CFF0FC"/>
          </w:tcPr>
          <w:p>
            <w:pPr>
              <w:jc w:val="right"/>
              <w:ind w:right="154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6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1600" w:type="dxa"/>
            <w:vAlign w:val="bottom"/>
            <w:gridSpan w:val="3"/>
            <w:shd w:val="clear" w:color="auto" w:fill="CFF0FC"/>
          </w:tcPr>
          <w:p>
            <w:pPr>
              <w:jc w:val="right"/>
              <w:ind w:right="1348"/>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1,106</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740" w:type="dxa"/>
            <w:vAlign w:val="bottom"/>
            <w:gridSpan w:val="3"/>
            <w:shd w:val="clear" w:color="auto" w:fill="CFF0FC"/>
          </w:tcPr>
          <w:p>
            <w:pPr>
              <w:jc w:val="right"/>
              <w:ind w:right="154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1,190</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0"/>
        </w:trPr>
        <w:tc>
          <w:tcPr>
            <w:tcW w:w="600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20" w:type="dxa"/>
            <w:vAlign w:val="bottom"/>
            <w:tcBorders>
              <w:top w:val="single" w:sz="8" w:color="CFF0FC"/>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6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remaining lease term (years)</w:t>
            </w: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1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13.70%</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7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13.70%</w:t>
            </w:r>
          </w:p>
        </w:tc>
      </w:tr>
      <w:tr>
        <w:trPr>
          <w:trHeight w:val="427"/>
        </w:trPr>
        <w:tc>
          <w:tcPr>
            <w:tcW w:w="8740" w:type="dxa"/>
            <w:vAlign w:val="bottom"/>
            <w:gridSpan w:val="7"/>
          </w:tcPr>
          <w:p>
            <w:pPr>
              <w:ind w:left="520"/>
              <w:spacing w:after="0"/>
              <w:rPr>
                <w:sz w:val="20"/>
                <w:szCs w:val="20"/>
                <w:color w:val="auto"/>
              </w:rPr>
            </w:pPr>
            <w:r>
              <w:rPr>
                <w:rFonts w:ascii="Times New Roman" w:cs="Times New Roman" w:eastAsia="Times New Roman" w:hAnsi="Times New Roman"/>
                <w:sz w:val="18"/>
                <w:szCs w:val="18"/>
                <w:color w:val="auto"/>
                <w:w w:val="99"/>
              </w:rPr>
              <w:t>Other information related to leases for the three months ended March 31, 2025 and 2024, respectively, as follows:</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8"/>
        </w:trPr>
        <w:tc>
          <w:tcPr>
            <w:tcW w:w="6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6"/>
          </w:tcPr>
          <w:p>
            <w:pPr>
              <w:jc w:val="right"/>
              <w:ind w:right="76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6000" w:type="dxa"/>
            <w:vAlign w:val="bottom"/>
          </w:tcPr>
          <w:p>
            <w:pPr>
              <w:spacing w:after="0"/>
              <w:rPr>
                <w:sz w:val="17"/>
                <w:szCs w:val="17"/>
                <w:color w:val="auto"/>
              </w:rPr>
            </w:pPr>
          </w:p>
        </w:tc>
        <w:tc>
          <w:tcPr>
            <w:tcW w:w="180" w:type="dxa"/>
            <w:vAlign w:val="bottom"/>
            <w:gridSpan w:val="2"/>
          </w:tcPr>
          <w:p>
            <w:pPr>
              <w:spacing w:after="0"/>
              <w:rPr>
                <w:sz w:val="17"/>
                <w:szCs w:val="17"/>
                <w:color w:val="auto"/>
              </w:rPr>
            </w:pPr>
          </w:p>
        </w:tc>
        <w:tc>
          <w:tcPr>
            <w:tcW w:w="14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gridSpan w:val="2"/>
          </w:tcPr>
          <w:p>
            <w:pPr>
              <w:spacing w:after="0"/>
              <w:rPr>
                <w:sz w:val="17"/>
                <w:szCs w:val="17"/>
                <w:color w:val="auto"/>
              </w:rPr>
            </w:pPr>
          </w:p>
        </w:tc>
        <w:tc>
          <w:tcPr>
            <w:tcW w:w="168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0"/>
        </w:trPr>
        <w:tc>
          <w:tcPr>
            <w:tcW w:w="6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paid for amounts included in the measurement of lease liabilities</w:t>
            </w:r>
          </w:p>
        </w:tc>
        <w:tc>
          <w:tcPr>
            <w:tcW w:w="1600" w:type="dxa"/>
            <w:vAlign w:val="bottom"/>
            <w:gridSpan w:val="3"/>
            <w:shd w:val="clear" w:color="auto" w:fill="CFF0FC"/>
          </w:tcPr>
          <w:p>
            <w:pPr>
              <w:jc w:val="right"/>
              <w:ind w:right="1268"/>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203</w:t>
            </w:r>
          </w:p>
        </w:tc>
        <w:tc>
          <w:tcPr>
            <w:tcW w:w="240" w:type="dxa"/>
            <w:vAlign w:val="bottom"/>
            <w:shd w:val="clear" w:color="auto" w:fill="CFF0FC"/>
          </w:tcPr>
          <w:p>
            <w:pPr>
              <w:spacing w:after="0"/>
              <w:rPr>
                <w:sz w:val="18"/>
                <w:szCs w:val="18"/>
                <w:color w:val="auto"/>
              </w:rPr>
            </w:pPr>
          </w:p>
        </w:tc>
        <w:tc>
          <w:tcPr>
            <w:tcW w:w="1740" w:type="dxa"/>
            <w:vAlign w:val="bottom"/>
            <w:gridSpan w:val="3"/>
            <w:shd w:val="clear" w:color="auto" w:fill="CFF0FC"/>
          </w:tcPr>
          <w:p>
            <w:pPr>
              <w:jc w:val="right"/>
              <w:ind w:right="1508"/>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447</w:t>
            </w:r>
          </w:p>
        </w:tc>
        <w:tc>
          <w:tcPr>
            <w:tcW w:w="100" w:type="dxa"/>
            <w:vAlign w:val="bottom"/>
            <w:shd w:val="clear" w:color="auto" w:fill="CFF0FC"/>
          </w:tcPr>
          <w:p>
            <w:pPr>
              <w:spacing w:after="0"/>
              <w:rPr>
                <w:sz w:val="18"/>
                <w:szCs w:val="18"/>
                <w:color w:val="auto"/>
              </w:rPr>
            </w:pPr>
          </w:p>
        </w:tc>
      </w:tr>
      <w:tr>
        <w:trPr>
          <w:trHeight w:val="234"/>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Leased assets obtained in exchange for new or modified operating lease liabilities</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1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(84)</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(264)</w:t>
            </w:r>
          </w:p>
        </w:tc>
      </w:tr>
      <w:tr>
        <w:trPr>
          <w:trHeight w:val="616"/>
        </w:trPr>
        <w:tc>
          <w:tcPr>
            <w:tcW w:w="600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60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-2287905</wp:posOffset>
            </wp:positionV>
            <wp:extent cx="11112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-2287905</wp:posOffset>
            </wp:positionV>
            <wp:extent cx="11176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Future minimum lease payments, net of reimbursements, remaining as of March 31, 2025, under operating leases by fiscal year were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7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420" w:type="dxa"/>
            <w:vAlign w:val="bottom"/>
          </w:tcPr>
          <w:p>
            <w:pPr>
              <w:spacing w:after="0"/>
              <w:rPr>
                <w:sz w:val="15"/>
                <w:szCs w:val="15"/>
                <w:color w:val="auto"/>
              </w:rPr>
            </w:pPr>
          </w:p>
        </w:tc>
        <w:tc>
          <w:tcPr>
            <w:tcW w:w="2040" w:type="dxa"/>
            <w:vAlign w:val="bottom"/>
            <w:gridSpan w:val="2"/>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16"/>
        </w:trPr>
        <w:tc>
          <w:tcPr>
            <w:tcW w:w="8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2025</w:t>
            </w:r>
          </w:p>
        </w:tc>
        <w:tc>
          <w:tcPr>
            <w:tcW w:w="420" w:type="dxa"/>
            <w:vAlign w:val="bottom"/>
            <w:shd w:val="clear" w:color="auto" w:fill="CFF0FC"/>
          </w:tcPr>
          <w:p>
            <w:pPr>
              <w:spacing w:after="0"/>
              <w:rPr>
                <w:sz w:val="18"/>
                <w:szCs w:val="18"/>
                <w:color w:val="auto"/>
              </w:rPr>
            </w:pPr>
          </w:p>
        </w:tc>
        <w:tc>
          <w:tcPr>
            <w:tcW w:w="1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shd w:val="clear" w:color="auto" w:fill="CFF0FC"/>
          </w:tcPr>
          <w:p>
            <w:pPr>
              <w:spacing w:after="0"/>
              <w:rPr>
                <w:sz w:val="18"/>
                <w:szCs w:val="18"/>
                <w:color w:val="auto"/>
              </w:rPr>
            </w:pPr>
          </w:p>
        </w:tc>
      </w:tr>
      <w:tr>
        <w:trPr>
          <w:trHeight w:val="216"/>
        </w:trPr>
        <w:tc>
          <w:tcPr>
            <w:tcW w:w="878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42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100" w:type="dxa"/>
            <w:vAlign w:val="bottom"/>
          </w:tcPr>
          <w:p>
            <w:pPr>
              <w:spacing w:after="0"/>
              <w:rPr>
                <w:sz w:val="18"/>
                <w:szCs w:val="18"/>
                <w:color w:val="auto"/>
              </w:rPr>
            </w:pPr>
          </w:p>
        </w:tc>
      </w:tr>
      <w:tr>
        <w:trPr>
          <w:trHeight w:val="216"/>
        </w:trPr>
        <w:tc>
          <w:tcPr>
            <w:tcW w:w="8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2027</w:t>
            </w:r>
          </w:p>
        </w:tc>
        <w:tc>
          <w:tcPr>
            <w:tcW w:w="420" w:type="dxa"/>
            <w:vAlign w:val="bottom"/>
            <w:shd w:val="clear" w:color="auto" w:fill="CFF0FC"/>
          </w:tcPr>
          <w:p>
            <w:pPr>
              <w:spacing w:after="0"/>
              <w:rPr>
                <w:sz w:val="18"/>
                <w:szCs w:val="18"/>
                <w:color w:val="auto"/>
              </w:rPr>
            </w:pPr>
          </w:p>
        </w:tc>
        <w:tc>
          <w:tcPr>
            <w:tcW w:w="1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shd w:val="clear" w:color="auto" w:fill="CFF0FC"/>
          </w:tcPr>
          <w:p>
            <w:pPr>
              <w:spacing w:after="0"/>
              <w:rPr>
                <w:sz w:val="18"/>
                <w:szCs w:val="18"/>
                <w:color w:val="auto"/>
              </w:rPr>
            </w:pPr>
          </w:p>
        </w:tc>
      </w:tr>
      <w:tr>
        <w:trPr>
          <w:trHeight w:val="216"/>
        </w:trPr>
        <w:tc>
          <w:tcPr>
            <w:tcW w:w="878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42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Pr>
          <w:p>
            <w:pPr>
              <w:spacing w:after="0"/>
              <w:rPr>
                <w:sz w:val="18"/>
                <w:szCs w:val="18"/>
                <w:color w:val="auto"/>
              </w:rPr>
            </w:pPr>
          </w:p>
        </w:tc>
      </w:tr>
      <w:tr>
        <w:trPr>
          <w:trHeight w:val="216"/>
        </w:trPr>
        <w:tc>
          <w:tcPr>
            <w:tcW w:w="8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Thereafter</w:t>
            </w:r>
          </w:p>
        </w:tc>
        <w:tc>
          <w:tcPr>
            <w:tcW w:w="420" w:type="dxa"/>
            <w:vAlign w:val="bottom"/>
            <w:tcBorders>
              <w:bottom w:val="single" w:sz="8" w:color="auto"/>
            </w:tcBorders>
            <w:shd w:val="clear" w:color="auto" w:fill="CFF0FC"/>
          </w:tcPr>
          <w:p>
            <w:pPr>
              <w:spacing w:after="0"/>
              <w:rPr>
                <w:sz w:val="18"/>
                <w:szCs w:val="18"/>
                <w:color w:val="auto"/>
              </w:rPr>
            </w:pPr>
          </w:p>
        </w:tc>
        <w:tc>
          <w:tcPr>
            <w:tcW w:w="1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8780" w:type="dxa"/>
            <w:vAlign w:val="bottom"/>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1,355</w:t>
            </w:r>
          </w:p>
        </w:tc>
        <w:tc>
          <w:tcPr>
            <w:tcW w:w="100" w:type="dxa"/>
            <w:vAlign w:val="bottom"/>
          </w:tcPr>
          <w:p>
            <w:pPr>
              <w:spacing w:after="0"/>
              <w:rPr>
                <w:sz w:val="18"/>
                <w:szCs w:val="18"/>
                <w:color w:val="auto"/>
              </w:rPr>
            </w:pPr>
          </w:p>
        </w:tc>
      </w:tr>
      <w:tr>
        <w:trPr>
          <w:trHeight w:val="216"/>
        </w:trPr>
        <w:tc>
          <w:tcPr>
            <w:tcW w:w="8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Present Value Adjustment</w:t>
            </w:r>
          </w:p>
        </w:tc>
        <w:tc>
          <w:tcPr>
            <w:tcW w:w="420" w:type="dxa"/>
            <w:vAlign w:val="bottom"/>
            <w:shd w:val="clear" w:color="auto" w:fill="CFF0FC"/>
          </w:tcPr>
          <w:p>
            <w:pPr>
              <w:spacing w:after="0"/>
              <w:rPr>
                <w:sz w:val="18"/>
                <w:szCs w:val="18"/>
                <w:color w:val="auto"/>
              </w:rPr>
            </w:pPr>
          </w:p>
        </w:tc>
        <w:tc>
          <w:tcPr>
            <w:tcW w:w="2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(249)</w:t>
            </w:r>
          </w:p>
        </w:tc>
      </w:tr>
      <w:tr>
        <w:trPr>
          <w:trHeight w:val="210"/>
        </w:trPr>
        <w:tc>
          <w:tcPr>
            <w:tcW w:w="87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Present value of lease payments</w:t>
            </w: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1,106</w:t>
            </w:r>
          </w:p>
        </w:tc>
        <w:tc>
          <w:tcPr>
            <w:tcW w:w="100" w:type="dxa"/>
            <w:vAlign w:val="bottom"/>
            <w:tcBorders>
              <w:top w:val="single" w:sz="8" w:color="CFF0FC"/>
            </w:tcBorders>
          </w:tcPr>
          <w:p>
            <w:pPr>
              <w:spacing w:after="0"/>
              <w:rPr>
                <w:sz w:val="18"/>
                <w:szCs w:val="18"/>
                <w:color w:val="auto"/>
              </w:rPr>
            </w:pPr>
          </w:p>
        </w:tc>
      </w:tr>
      <w:tr>
        <w:trPr>
          <w:trHeight w:val="20"/>
        </w:trPr>
        <w:tc>
          <w:tcPr>
            <w:tcW w:w="87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-453390</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Rent expense recorded during the three months ended March 31, 2025 and 2024 was $118 and $355, respectively.</w:t>
      </w:r>
    </w:p>
    <w:p>
      <w:pPr>
        <w:spacing w:after="0" w:line="3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121"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From time to time, the Company may have certain contingent liabilities that arise in the ordinary course of its business activities. The Company accrues a liability for such matters when future expenditures are probable and such expenditures can be reasonably estimated.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7. Stockholders’ Equity</w:t>
      </w:r>
    </w:p>
    <w:p>
      <w:pPr>
        <w:spacing w:after="0" w:line="121" w:lineRule="exact"/>
        <w:rPr>
          <w:sz w:val="20"/>
          <w:szCs w:val="20"/>
          <w:color w:val="auto"/>
        </w:rPr>
      </w:pPr>
    </w:p>
    <w:p>
      <w:pPr>
        <w:ind w:right="280" w:firstLine="509"/>
        <w:spacing w:after="0" w:line="266" w:lineRule="auto"/>
        <w:rPr>
          <w:sz w:val="20"/>
          <w:szCs w:val="20"/>
          <w:color w:val="auto"/>
        </w:rPr>
      </w:pPr>
      <w:r>
        <w:rPr>
          <w:rFonts w:ascii="Times New Roman" w:cs="Times New Roman" w:eastAsia="Times New Roman" w:hAnsi="Times New Roman"/>
          <w:sz w:val="18"/>
          <w:szCs w:val="18"/>
          <w:color w:val="auto"/>
        </w:rPr>
        <w:t>The Company is authorized to issue up to 1,000,000,000 shares of common stock with a par value of $0.00001 per share and 5,000,000 shares of preferred stock with a par value of $0.00001 per share. At March 31, 2025 and December 31, 2024, there were 51,954,135 and 51,935,134 shares of common stock issued and outstanding, respectively.</w:t>
      </w:r>
    </w:p>
    <w:p>
      <w:pPr>
        <w:spacing w:after="0" w:line="68" w:lineRule="exact"/>
        <w:rPr>
          <w:sz w:val="20"/>
          <w:szCs w:val="20"/>
          <w:color w:val="auto"/>
        </w:rPr>
      </w:pPr>
    </w:p>
    <w:p>
      <w:pPr>
        <w:ind w:right="740" w:firstLine="509"/>
        <w:spacing w:after="0" w:line="282" w:lineRule="auto"/>
        <w:rPr>
          <w:sz w:val="20"/>
          <w:szCs w:val="20"/>
          <w:color w:val="auto"/>
        </w:rPr>
      </w:pPr>
      <w:r>
        <w:rPr>
          <w:rFonts w:ascii="Times New Roman" w:cs="Times New Roman" w:eastAsia="Times New Roman" w:hAnsi="Times New Roman"/>
          <w:sz w:val="18"/>
          <w:szCs w:val="18"/>
          <w:color w:val="auto"/>
        </w:rPr>
        <w:t>Common stockholders are entitled to receive dividends if and when declared by the board of directors subject to the rights of any preferred stockholders. As of March 31, 2025, no dividends on common stock had been declared by the Company.</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ATM Program</w:t>
      </w:r>
    </w:p>
    <w:p>
      <w:pPr>
        <w:spacing w:after="0" w:line="121"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On October 4, 2021, the Company entered into an at-the-market offering program (the “ATM Program”). Pursuant to the ATM Program, the Company may offer and sell shares of its common stock having aggregate gross sales proceeds of up to $150.0 million from time to time. During the three months ended March 31, 2025, the Company did not sell any shares of its common stock under the ATM Program. As of March 31, 2025, the Company has approximately $113.8 million remaining in gross proceeds available for future issuances of common stock under the ATM Program.</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8. Stock Plan</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2020 Equity Incentive Plan</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The 2020 Equity Incentive Plan (the “2020 Plan”) was approved by the Company’s board of directors on September 24, 2020. The 2020 Plan provides for the grant of incentive stock options, non-qualified stock options, stock appreciation rights, restricted stock units, restricted stock awards, unrestricted stock awards, cash-based awards and dividend equivalent rights to the Company’s officers, employees, directors and consultants. The number of shares of common stock initially reserved for issuance under the 2020 Plan was 4,406,374, which shall be increased, upon approval by the Company’s board of directors, on January 1, 2021 and each January 1 thereafter, in an amount equal to the least of (i) 4,406,374 shares of common stock, (ii) five percent (5%) of the outstanding common stock on the immediately preceding December 31, or (iii) such number of common stock determined by the board of directors no later than the immediately preceding December 31. For 2025, the compensation committee of the Company’s board of directors, as the 2020 Plan administrator, exercised its discretion under clause (ii) to increase the number of shares of common stock reserved for issuance under the 2020 Plan by 2,596,638 shares, effective as of January 1, 2025. As of March 31, 2025, there were 4,605,519 shares available for issuance under the 2020 Plan.</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66" w:lineRule="exact"/>
        <w:rPr>
          <w:sz w:val="20"/>
          <w:szCs w:val="20"/>
          <w:color w:val="auto"/>
        </w:rPr>
      </w:pPr>
    </w:p>
    <w:p>
      <w:pPr>
        <w:ind w:right="280" w:firstLine="509"/>
        <w:spacing w:after="0" w:line="261" w:lineRule="auto"/>
        <w:rPr>
          <w:sz w:val="20"/>
          <w:szCs w:val="20"/>
          <w:color w:val="auto"/>
        </w:rPr>
      </w:pPr>
      <w:r>
        <w:rPr>
          <w:rFonts w:ascii="Times New Roman" w:cs="Times New Roman" w:eastAsia="Times New Roman" w:hAnsi="Times New Roman"/>
          <w:sz w:val="18"/>
          <w:szCs w:val="18"/>
          <w:color w:val="auto"/>
        </w:rPr>
        <w:t>On September 9, 2022, the Company granted 374,899 Restricted Stock Units (“RSUs”) to employees pursuant to an employee retention program approved by the compensation committee of the Company’s board of directors. The RSUs have graded vesting on an annual basis for two years of continuous service, as per the 2020 Plan. As of March 31, 2025, such RSUs were fully vested and common stock was issued upon the settlement of the RSUs.</w:t>
      </w:r>
    </w:p>
    <w:p>
      <w:pPr>
        <w:spacing w:after="0" w:line="72"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On January 18, 2024, the Company granted 952,665 RSUs to employees VP-level or higher, pursuant to an employee retention program approved by the compensation committee of the Company’s board of directors. The RSUs are scheduled to vest on June 30, 2025, based on approximately one and a half years of continuous service, as per the 2020 Plan.</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2020 Employee Stock Purchase Plan</w:t>
      </w:r>
    </w:p>
    <w:p>
      <w:pPr>
        <w:spacing w:after="0" w:line="121"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The 2020 Employee Stock Purchase Plan (the “2020 ESPP”) was approved by the Company’s board of directors on September 24, 2020. A total of 400,752 shares of common stock were initially reserved for issuance under this plan, which shall be increased, upon approval by the Company’s board of directors, on January 1, 2021 and each January 1 thereafter, to the lesser of (i) 801,504 shares of common stock, (ii) 1% of the outstanding shares of common stock on the last day of the immediately preceding fiscal year, or (iii) an amount determined by the board of directors or any of its committees no later than the last day of the immediately preceding fiscal year. For 2025, the Company’s board of directors waived the annual increase to the shares reserved under the 2020 ESPP. As of March 31, 2025, 365,290 shares are issued or outstanding, and there were 1,408,321 shares available for issuance, under the 2020 ESPP.</w:t>
      </w:r>
    </w:p>
    <w:p>
      <w:pPr>
        <w:spacing w:after="0" w:line="2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On July 16, 2024, the Company filed with the Securities and Exchange Commission a Tender Offer Statement on Schedule TO defining the terms and conditions of a one-time voluntary stock option exchange to its employees of certain options to purchase up to an aggregate of 2,820,491 shares of the Company’s common stock (the “Option Exchange”). On August 13, 2024, the completion date of the Option Exchange, stock options covering an aggregate of 2,786,691 shares of common stock were tendered by eligible employees, and the Company granted new options at an exercise price of $1.48, the Company’s closing stock price on August 13, 2024, covering an aggregate of 2,786,691 shares of common stock under the 2020 Plan in exchange for the tendered options. The new options are subject to a new three or four-year vesting schedule, vesting in equal annual installments over the vesting term. Each new option has a maximum term of ten years. The Option Exchange was treated as a modification for accounting purposes. As a result of the Option Exchange, the Company will recognize incremental stock-based compensation expense of $1,370 over the requisite service period of the new stock options, which is three or four years. The Company will recognize the sum of the incremental stock-based compensation expense and the remaining unrecognized compensation expense for the original awards on the modification date, over the requisite service period of the new stock options.</w:t>
      </w:r>
    </w:p>
    <w:p>
      <w:pPr>
        <w:spacing w:after="0" w:line="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option activity for the three-month period ended March 31, 2025:</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3040" w:type="dxa"/>
            <w:vAlign w:val="bottom"/>
            <w:tcBorders>
              <w:bottom w:val="single" w:sz="8" w:color="auto"/>
            </w:tcBorders>
            <w:gridSpan w:val="4"/>
          </w:tcPr>
          <w:p>
            <w:pPr>
              <w:jc w:val="right"/>
              <w:ind w:right="829"/>
              <w:spacing w:after="0"/>
              <w:rPr>
                <w:sz w:val="20"/>
                <w:szCs w:val="20"/>
                <w:color w:val="auto"/>
              </w:rPr>
            </w:pPr>
            <w:r>
              <w:rPr>
                <w:rFonts w:ascii="Times New Roman" w:cs="Times New Roman" w:eastAsia="Times New Roman" w:hAnsi="Times New Roman"/>
                <w:sz w:val="14"/>
                <w:szCs w:val="14"/>
                <w:b w:val="1"/>
                <w:bCs w:val="1"/>
                <w:color w:val="auto"/>
              </w:rPr>
              <w:t>Options Outstanding</w:t>
            </w:r>
          </w:p>
        </w:tc>
        <w:tc>
          <w:tcPr>
            <w:tcW w:w="2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vMerge w:val="restart"/>
          </w:tcPr>
          <w:p>
            <w:pPr>
              <w:jc w:val="center"/>
              <w:ind w:left="23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5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4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2"/>
            <w:vMerge w:val="restart"/>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920" w:type="dxa"/>
            <w:vAlign w:val="bottom"/>
          </w:tcPr>
          <w:p>
            <w:pPr>
              <w:jc w:val="center"/>
              <w:ind w:left="23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9"/>
        </w:trPr>
        <w:tc>
          <w:tcPr>
            <w:tcW w:w="4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920" w:type="dxa"/>
            <w:vAlign w:val="bottom"/>
          </w:tcPr>
          <w:p>
            <w:pPr>
              <w:jc w:val="center"/>
              <w:ind w:left="238"/>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 Life</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73"/>
        </w:trPr>
        <w:tc>
          <w:tcPr>
            <w:tcW w:w="48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60" w:type="dxa"/>
            <w:vAlign w:val="bottom"/>
          </w:tcPr>
          <w:p>
            <w:pPr>
              <w:spacing w:after="0"/>
              <w:rPr>
                <w:sz w:val="15"/>
                <w:szCs w:val="15"/>
                <w:color w:val="auto"/>
              </w:rPr>
            </w:pPr>
          </w:p>
        </w:tc>
        <w:tc>
          <w:tcPr>
            <w:tcW w:w="920" w:type="dxa"/>
            <w:vAlign w:val="bottom"/>
            <w:tcBorders>
              <w:bottom w:val="single" w:sz="8" w:color="auto"/>
            </w:tcBorders>
          </w:tcPr>
          <w:p>
            <w:pPr>
              <w:jc w:val="center"/>
              <w:ind w:left="238"/>
              <w:spacing w:after="0"/>
              <w:rPr>
                <w:sz w:val="20"/>
                <w:szCs w:val="20"/>
                <w:color w:val="auto"/>
              </w:rPr>
            </w:pPr>
            <w:r>
              <w:rPr>
                <w:rFonts w:ascii="Times New Roman" w:cs="Times New Roman" w:eastAsia="Times New Roman" w:hAnsi="Times New Roman"/>
                <w:sz w:val="14"/>
                <w:szCs w:val="14"/>
                <w:b w:val="1"/>
                <w:bCs w:val="1"/>
                <w:color w:val="auto"/>
              </w:rPr>
              <w:t>Price</w:t>
            </w:r>
          </w:p>
        </w:tc>
        <w:tc>
          <w:tcPr>
            <w:tcW w:w="3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(in 000s)</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9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Balances at December 31, 2024</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8,653,913</w:t>
            </w: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738"/>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2.87</w:t>
            </w:r>
          </w:p>
        </w:tc>
        <w:tc>
          <w:tcPr>
            <w:tcW w:w="1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Shares reserved for issuance</w:t>
            </w: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granted</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3,483,240</w:t>
            </w: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738"/>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1.32</w:t>
            </w:r>
          </w:p>
        </w:tc>
        <w:tc>
          <w:tcPr>
            <w:tcW w:w="22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Options forfeited / cancelled</w:t>
            </w: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(171,017)</w:t>
            </w:r>
          </w:p>
        </w:tc>
        <w:tc>
          <w:tcPr>
            <w:tcW w:w="920" w:type="dxa"/>
            <w:vAlign w:val="bottom"/>
          </w:tcPr>
          <w:p>
            <w:pPr>
              <w:jc w:val="right"/>
              <w:ind w:right="738"/>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1.61</w:t>
            </w: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exercised</w:t>
            </w:r>
          </w:p>
        </w:tc>
        <w:tc>
          <w:tcPr>
            <w:tcW w:w="15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(19,001)</w:t>
            </w:r>
          </w:p>
        </w:tc>
        <w:tc>
          <w:tcPr>
            <w:tcW w:w="920" w:type="dxa"/>
            <w:vAlign w:val="bottom"/>
            <w:shd w:val="clear" w:color="auto" w:fill="CFF0FC"/>
          </w:tcPr>
          <w:p>
            <w:pPr>
              <w:jc w:val="right"/>
              <w:ind w:right="738"/>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0.53</w:t>
            </w:r>
          </w:p>
        </w:tc>
        <w:tc>
          <w:tcPr>
            <w:tcW w:w="22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80" w:type="dxa"/>
            <w:vAlign w:val="bottom"/>
            <w:tcBorders>
              <w:top w:val="single" w:sz="8" w:color="CFF0FC"/>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Balances at March 31, 2025 (unaudited)</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11,947,135</w:t>
            </w:r>
          </w:p>
        </w:tc>
        <w:tc>
          <w:tcPr>
            <w:tcW w:w="260" w:type="dxa"/>
            <w:vAlign w:val="bottom"/>
            <w:tcBorders>
              <w:top w:val="single" w:sz="8" w:color="CFF0FC"/>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738"/>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2.44</w:t>
            </w:r>
          </w:p>
        </w:tc>
        <w:tc>
          <w:tcPr>
            <w:tcW w:w="1800" w:type="dxa"/>
            <w:vAlign w:val="bottom"/>
            <w:tcBorders>
              <w:top w:val="single" w:sz="8" w:color="CFF0FC"/>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8.29</w:t>
            </w:r>
          </w:p>
        </w:tc>
        <w:tc>
          <w:tcPr>
            <w:tcW w:w="460" w:type="dxa"/>
            <w:vAlign w:val="bottom"/>
            <w:tcBorders>
              <w:top w:val="single" w:sz="8" w:color="CFF0FC"/>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980" w:type="dxa"/>
            <w:vAlign w:val="bottom"/>
            <w:gridSpan w:val="2"/>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At March 31, 2025</w:t>
            </w:r>
          </w:p>
        </w:tc>
        <w:tc>
          <w:tcPr>
            <w:tcW w:w="13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5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Vested and expected to vest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11,947,135</w:t>
            </w:r>
          </w:p>
        </w:tc>
        <w:tc>
          <w:tcPr>
            <w:tcW w:w="260" w:type="dxa"/>
            <w:vAlign w:val="bottom"/>
          </w:tcPr>
          <w:p>
            <w:pPr>
              <w:spacing w:after="0"/>
              <w:rPr>
                <w:sz w:val="18"/>
                <w:szCs w:val="18"/>
                <w:color w:val="auto"/>
              </w:rPr>
            </w:pPr>
          </w:p>
        </w:tc>
        <w:tc>
          <w:tcPr>
            <w:tcW w:w="920" w:type="dxa"/>
            <w:vAlign w:val="bottom"/>
          </w:tcPr>
          <w:p>
            <w:pPr>
              <w:jc w:val="right"/>
              <w:ind w:right="738"/>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2.44</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8.29</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980" w:type="dxa"/>
            <w:vAlign w:val="bottom"/>
            <w:tcBorders>
              <w:bottom w:val="single" w:sz="8" w:color="CFF0FC"/>
            </w:tcBorders>
            <w:gridSpan w:val="2"/>
            <w:shd w:val="clear" w:color="auto" w:fill="CFF0FC"/>
          </w:tcPr>
          <w:p>
            <w:pPr>
              <w:ind w:left="60"/>
              <w:spacing w:after="0" w:line="196" w:lineRule="exact"/>
              <w:rPr>
                <w:sz w:val="20"/>
                <w:szCs w:val="20"/>
                <w:color w:val="auto"/>
              </w:rPr>
            </w:pPr>
            <w:r>
              <w:rPr>
                <w:rFonts w:ascii="Times New Roman" w:cs="Times New Roman" w:eastAsia="Times New Roman" w:hAnsi="Times New Roman"/>
                <w:sz w:val="18"/>
                <w:szCs w:val="18"/>
                <w:color w:val="auto"/>
              </w:rPr>
              <w:t>Exercisable</w:t>
            </w:r>
          </w:p>
        </w:tc>
        <w:tc>
          <w:tcPr>
            <w:tcW w:w="13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3,288,865</w:t>
            </w:r>
          </w:p>
        </w:tc>
        <w:tc>
          <w:tcPr>
            <w:tcW w:w="260" w:type="dxa"/>
            <w:vAlign w:val="bottom"/>
            <w:tcBorders>
              <w:bottom w:val="single" w:sz="8" w:color="CFF0FC"/>
            </w:tcBorders>
            <w:shd w:val="clear" w:color="auto" w:fill="CFF0FC"/>
          </w:tcPr>
          <w:p>
            <w:pPr>
              <w:spacing w:after="0"/>
              <w:rPr>
                <w:sz w:val="20"/>
                <w:szCs w:val="20"/>
                <w:color w:val="auto"/>
              </w:rPr>
            </w:pPr>
          </w:p>
        </w:tc>
        <w:tc>
          <w:tcPr>
            <w:tcW w:w="920" w:type="dxa"/>
            <w:vAlign w:val="bottom"/>
            <w:tcBorders>
              <w:bottom w:val="single" w:sz="8" w:color="CFF0FC"/>
            </w:tcBorders>
            <w:shd w:val="clear" w:color="auto" w:fill="CFF0FC"/>
          </w:tcPr>
          <w:p>
            <w:pPr>
              <w:jc w:val="right"/>
              <w:ind w:right="738"/>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bottom w:val="single" w:sz="8" w:color="CFF0FC"/>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95"/>
              </w:rPr>
              <w:t>4.88</w:t>
            </w:r>
          </w:p>
        </w:tc>
        <w:tc>
          <w:tcPr>
            <w:tcW w:w="1800" w:type="dxa"/>
            <w:vAlign w:val="bottom"/>
            <w:tcBorders>
              <w:bottom w:val="single" w:sz="8" w:color="CFF0FC"/>
            </w:tcBorders>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5.23</w:t>
            </w:r>
          </w:p>
        </w:tc>
        <w:tc>
          <w:tcPr>
            <w:tcW w:w="460" w:type="dxa"/>
            <w:vAlign w:val="bottom"/>
            <w:tcBorders>
              <w:bottom w:val="single" w:sz="8" w:color="CFF0FC"/>
            </w:tcBorders>
            <w:gridSpan w:val="2"/>
            <w:shd w:val="clear" w:color="auto" w:fill="CFF0FC"/>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FF0FC"/>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-633730</wp:posOffset>
            </wp:positionV>
            <wp:extent cx="6858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-633730</wp:posOffset>
            </wp:positionV>
            <wp:extent cx="685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-25400</wp:posOffset>
            </wp:positionV>
            <wp:extent cx="6858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-8255</wp:posOffset>
            </wp:positionV>
            <wp:extent cx="6858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91"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At March 31, 2025, the total compensation cost related to nonvested awards not yet recognized was $15,006. The weighted-average period over which the nonvested awards is expected to be recognized was 3.2 years.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66" w:lineRule="exact"/>
        <w:rPr>
          <w:sz w:val="20"/>
          <w:szCs w:val="20"/>
          <w:color w:val="auto"/>
        </w:rPr>
      </w:pPr>
    </w:p>
    <w:p>
      <w:pPr>
        <w:ind w:right="620" w:firstLine="509"/>
        <w:spacing w:after="0" w:line="282" w:lineRule="auto"/>
        <w:rPr>
          <w:sz w:val="20"/>
          <w:szCs w:val="20"/>
          <w:color w:val="auto"/>
        </w:rPr>
      </w:pPr>
      <w:r>
        <w:rPr>
          <w:rFonts w:ascii="Times New Roman" w:cs="Times New Roman" w:eastAsia="Times New Roman" w:hAnsi="Times New Roman"/>
          <w:sz w:val="18"/>
          <w:szCs w:val="18"/>
          <w:color w:val="auto"/>
        </w:rPr>
        <w:t>The Company estimated the fair value of the options using the Black-Scholes options valuation model. The fair value of the options is being amortized on a straight-line basis over the requisite service period of the awards. The fair value was estimated using the following assumptions: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60" w:type="dxa"/>
            <w:vAlign w:val="bottom"/>
          </w:tcPr>
          <w:p>
            <w:pPr>
              <w:spacing w:after="0"/>
              <w:rPr>
                <w:sz w:val="13"/>
                <w:szCs w:val="13"/>
                <w:color w:val="auto"/>
              </w:rPr>
            </w:pPr>
          </w:p>
        </w:tc>
        <w:tc>
          <w:tcPr>
            <w:tcW w:w="3160" w:type="dxa"/>
            <w:vAlign w:val="bottom"/>
            <w:gridSpan w:val="3"/>
          </w:tcPr>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920" w:type="dxa"/>
            <w:vAlign w:val="bottom"/>
          </w:tcPr>
          <w:p>
            <w:pPr>
              <w:jc w:val="center"/>
              <w:ind w:right="458"/>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48"/>
        </w:trPr>
        <w:tc>
          <w:tcPr>
            <w:tcW w:w="6160" w:type="dxa"/>
            <w:vAlign w:val="bottom"/>
          </w:tcPr>
          <w:p>
            <w:pPr>
              <w:spacing w:after="0"/>
              <w:rPr>
                <w:sz w:val="12"/>
                <w:szCs w:val="12"/>
                <w:color w:val="auto"/>
              </w:rPr>
            </w:pPr>
          </w:p>
        </w:tc>
        <w:tc>
          <w:tcPr>
            <w:tcW w:w="3160" w:type="dxa"/>
            <w:vAlign w:val="bottom"/>
            <w:gridSpan w:val="3"/>
          </w:tcPr>
          <w:p>
            <w:pPr>
              <w:jc w:val="center"/>
              <w:ind w:right="74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920" w:type="dxa"/>
            <w:vAlign w:val="bottom"/>
          </w:tcPr>
          <w:p>
            <w:pPr>
              <w:jc w:val="center"/>
              <w:ind w:right="458"/>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r>
      <w:tr>
        <w:trPr>
          <w:trHeight w:val="173"/>
        </w:trPr>
        <w:tc>
          <w:tcPr>
            <w:tcW w:w="6160" w:type="dxa"/>
            <w:vAlign w:val="bottom"/>
          </w:tcPr>
          <w:p>
            <w:pPr>
              <w:spacing w:after="0"/>
              <w:rPr>
                <w:sz w:val="15"/>
                <w:szCs w:val="15"/>
                <w:color w:val="auto"/>
              </w:rPr>
            </w:pPr>
          </w:p>
        </w:tc>
        <w:tc>
          <w:tcPr>
            <w:tcW w:w="2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tcPr>
          <w:p>
            <w:pPr>
              <w:jc w:val="center"/>
              <w:ind w:right="458"/>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9"/>
        </w:trPr>
        <w:tc>
          <w:tcPr>
            <w:tcW w:w="6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24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4.02% - 4.48%</w:t>
            </w:r>
          </w:p>
        </w:tc>
        <w:tc>
          <w:tcPr>
            <w:tcW w:w="2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920" w:type="dxa"/>
            <w:vAlign w:val="bottom"/>
            <w:shd w:val="clear" w:color="auto" w:fill="CFF0FC"/>
          </w:tcPr>
          <w:p>
            <w:pPr>
              <w:jc w:val="center"/>
              <w:ind w:right="438"/>
              <w:spacing w:after="0"/>
              <w:rPr>
                <w:sz w:val="20"/>
                <w:szCs w:val="20"/>
                <w:color w:val="auto"/>
              </w:rPr>
            </w:pPr>
            <w:r>
              <w:rPr>
                <w:rFonts w:ascii="Times New Roman" w:cs="Times New Roman" w:eastAsia="Times New Roman" w:hAnsi="Times New Roman"/>
                <w:sz w:val="18"/>
                <w:szCs w:val="18"/>
                <w:color w:val="auto"/>
                <w:w w:val="99"/>
              </w:rPr>
              <w:t>3.82% - 4.26%</w:t>
            </w: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(in years)</w:t>
            </w: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6.02 - 6.25</w:t>
            </w: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920" w:type="dxa"/>
            <w:vAlign w:val="bottom"/>
          </w:tcPr>
          <w:p>
            <w:pPr>
              <w:jc w:val="center"/>
              <w:ind w:right="458"/>
              <w:spacing w:after="0"/>
              <w:rPr>
                <w:sz w:val="20"/>
                <w:szCs w:val="20"/>
                <w:color w:val="auto"/>
              </w:rPr>
            </w:pPr>
            <w:r>
              <w:rPr>
                <w:rFonts w:ascii="Times New Roman" w:cs="Times New Roman" w:eastAsia="Times New Roman" w:hAnsi="Times New Roman"/>
                <w:sz w:val="18"/>
                <w:szCs w:val="18"/>
                <w:color w:val="auto"/>
                <w:w w:val="99"/>
              </w:rPr>
              <w:t>6.02 - 6.25</w:t>
            </w:r>
          </w:p>
        </w:tc>
      </w:tr>
      <w:tr>
        <w:trPr>
          <w:trHeight w:val="216"/>
        </w:trPr>
        <w:tc>
          <w:tcPr>
            <w:tcW w:w="6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24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2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920" w:type="dxa"/>
            <w:vAlign w:val="bottom"/>
            <w:shd w:val="clear" w:color="auto" w:fill="CFF0FC"/>
          </w:tcPr>
          <w:p>
            <w:pPr>
              <w:jc w:val="center"/>
              <w:ind w:right="438"/>
              <w:spacing w:after="0"/>
              <w:rPr>
                <w:sz w:val="20"/>
                <w:szCs w:val="20"/>
                <w:color w:val="auto"/>
              </w:rPr>
            </w:pPr>
            <w:r>
              <w:rPr>
                <w:rFonts w:ascii="Times New Roman" w:cs="Times New Roman" w:eastAsia="Times New Roman" w:hAnsi="Times New Roman"/>
                <w:sz w:val="18"/>
                <w:szCs w:val="18"/>
                <w:color w:val="auto"/>
                <w:w w:val="99"/>
              </w:rPr>
              <w:t>0%</w:t>
            </w:r>
          </w:p>
        </w:tc>
      </w:tr>
      <w:tr>
        <w:trPr>
          <w:trHeight w:val="234"/>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80.22%</w:t>
            </w: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920" w:type="dxa"/>
            <w:vAlign w:val="bottom"/>
          </w:tcPr>
          <w:p>
            <w:pPr>
              <w:jc w:val="center"/>
              <w:ind w:right="458"/>
              <w:spacing w:after="0"/>
              <w:rPr>
                <w:sz w:val="20"/>
                <w:szCs w:val="20"/>
                <w:color w:val="auto"/>
              </w:rPr>
            </w:pPr>
            <w:r>
              <w:rPr>
                <w:rFonts w:ascii="Times New Roman" w:cs="Times New Roman" w:eastAsia="Times New Roman" w:hAnsi="Times New Roman"/>
                <w:sz w:val="18"/>
                <w:szCs w:val="18"/>
                <w:color w:val="auto"/>
                <w:w w:val="97"/>
              </w:rPr>
              <w:t>86.76%</w:t>
            </w:r>
          </w:p>
        </w:tc>
      </w:tr>
      <w:tr>
        <w:trPr>
          <w:trHeight w:val="427"/>
        </w:trPr>
        <w:tc>
          <w:tcPr>
            <w:tcW w:w="9320" w:type="dxa"/>
            <w:vAlign w:val="bottom"/>
            <w:gridSpan w:val="4"/>
          </w:tcPr>
          <w:p>
            <w:pPr>
              <w:ind w:left="520"/>
              <w:spacing w:after="0"/>
              <w:rPr>
                <w:sz w:val="20"/>
                <w:szCs w:val="20"/>
                <w:color w:val="auto"/>
              </w:rPr>
            </w:pPr>
            <w:r>
              <w:rPr>
                <w:rFonts w:ascii="Times New Roman" w:cs="Times New Roman" w:eastAsia="Times New Roman" w:hAnsi="Times New Roman"/>
                <w:sz w:val="18"/>
                <w:szCs w:val="18"/>
                <w:color w:val="auto"/>
              </w:rPr>
              <w:t>The weighted average assumptions used to estimate the fair value of stock purchase rights under the ESPP are as follows:</w:t>
            </w:r>
          </w:p>
        </w:tc>
        <w:tc>
          <w:tcPr>
            <w:tcW w:w="1920" w:type="dxa"/>
            <w:vAlign w:val="bottom"/>
          </w:tcPr>
          <w:p>
            <w:pPr>
              <w:spacing w:after="0"/>
              <w:rPr>
                <w:sz w:val="24"/>
                <w:szCs w:val="24"/>
                <w:color w:val="auto"/>
              </w:rPr>
            </w:pPr>
          </w:p>
        </w:tc>
      </w:tr>
      <w:tr>
        <w:trPr>
          <w:trHeight w:val="340"/>
        </w:trPr>
        <w:tc>
          <w:tcPr>
            <w:tcW w:w="6160" w:type="dxa"/>
            <w:vAlign w:val="bottom"/>
          </w:tcPr>
          <w:p>
            <w:pPr>
              <w:spacing w:after="0"/>
              <w:rPr>
                <w:sz w:val="24"/>
                <w:szCs w:val="24"/>
                <w:color w:val="auto"/>
              </w:rPr>
            </w:pPr>
          </w:p>
        </w:tc>
        <w:tc>
          <w:tcPr>
            <w:tcW w:w="3160" w:type="dxa"/>
            <w:vAlign w:val="bottom"/>
            <w:gridSpan w:val="3"/>
          </w:tcPr>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920" w:type="dxa"/>
            <w:vAlign w:val="bottom"/>
          </w:tcPr>
          <w:p>
            <w:pPr>
              <w:jc w:val="center"/>
              <w:ind w:right="458"/>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48"/>
        </w:trPr>
        <w:tc>
          <w:tcPr>
            <w:tcW w:w="6160" w:type="dxa"/>
            <w:vAlign w:val="bottom"/>
          </w:tcPr>
          <w:p>
            <w:pPr>
              <w:spacing w:after="0"/>
              <w:rPr>
                <w:sz w:val="12"/>
                <w:szCs w:val="12"/>
                <w:color w:val="auto"/>
              </w:rPr>
            </w:pPr>
          </w:p>
        </w:tc>
        <w:tc>
          <w:tcPr>
            <w:tcW w:w="3160" w:type="dxa"/>
            <w:vAlign w:val="bottom"/>
            <w:gridSpan w:val="3"/>
          </w:tcPr>
          <w:p>
            <w:pPr>
              <w:jc w:val="center"/>
              <w:ind w:right="74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920" w:type="dxa"/>
            <w:vAlign w:val="bottom"/>
          </w:tcPr>
          <w:p>
            <w:pPr>
              <w:jc w:val="center"/>
              <w:ind w:right="458"/>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r>
      <w:tr>
        <w:trPr>
          <w:trHeight w:val="173"/>
        </w:trPr>
        <w:tc>
          <w:tcPr>
            <w:tcW w:w="6160" w:type="dxa"/>
            <w:vAlign w:val="bottom"/>
          </w:tcPr>
          <w:p>
            <w:pPr>
              <w:spacing w:after="0"/>
              <w:rPr>
                <w:sz w:val="15"/>
                <w:szCs w:val="15"/>
                <w:color w:val="auto"/>
              </w:rPr>
            </w:pPr>
          </w:p>
        </w:tc>
        <w:tc>
          <w:tcPr>
            <w:tcW w:w="2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tcPr>
          <w:p>
            <w:pPr>
              <w:jc w:val="center"/>
              <w:ind w:right="458"/>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9"/>
        </w:trPr>
        <w:tc>
          <w:tcPr>
            <w:tcW w:w="6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24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4.28%</w:t>
            </w:r>
          </w:p>
        </w:tc>
        <w:tc>
          <w:tcPr>
            <w:tcW w:w="2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920" w:type="dxa"/>
            <w:vAlign w:val="bottom"/>
            <w:shd w:val="clear" w:color="auto" w:fill="CFF0FC"/>
          </w:tcPr>
          <w:p>
            <w:pPr>
              <w:jc w:val="center"/>
              <w:ind w:right="458"/>
              <w:spacing w:after="0"/>
              <w:rPr>
                <w:sz w:val="20"/>
                <w:szCs w:val="20"/>
                <w:color w:val="auto"/>
              </w:rPr>
            </w:pPr>
            <w:r>
              <w:rPr>
                <w:rFonts w:ascii="Times New Roman" w:cs="Times New Roman" w:eastAsia="Times New Roman" w:hAnsi="Times New Roman"/>
                <w:sz w:val="18"/>
                <w:szCs w:val="18"/>
                <w:color w:val="auto"/>
                <w:w w:val="98"/>
              </w:rPr>
              <w:t>5.43%</w:t>
            </w: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(in years)</w:t>
            </w: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0.49</w:t>
            </w: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920" w:type="dxa"/>
            <w:vAlign w:val="bottom"/>
          </w:tcPr>
          <w:p>
            <w:pPr>
              <w:jc w:val="center"/>
              <w:ind w:right="458"/>
              <w:spacing w:after="0"/>
              <w:rPr>
                <w:sz w:val="20"/>
                <w:szCs w:val="20"/>
                <w:color w:val="auto"/>
              </w:rPr>
            </w:pPr>
            <w:r>
              <w:rPr>
                <w:rFonts w:ascii="Times New Roman" w:cs="Times New Roman" w:eastAsia="Times New Roman" w:hAnsi="Times New Roman"/>
                <w:sz w:val="18"/>
                <w:szCs w:val="18"/>
                <w:color w:val="auto"/>
                <w:w w:val="95"/>
              </w:rPr>
              <w:t>0.49</w:t>
            </w:r>
          </w:p>
        </w:tc>
      </w:tr>
      <w:tr>
        <w:trPr>
          <w:trHeight w:val="216"/>
        </w:trPr>
        <w:tc>
          <w:tcPr>
            <w:tcW w:w="6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24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2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920" w:type="dxa"/>
            <w:vAlign w:val="bottom"/>
            <w:shd w:val="clear" w:color="auto" w:fill="CFF0FC"/>
          </w:tcPr>
          <w:p>
            <w:pPr>
              <w:jc w:val="center"/>
              <w:ind w:right="438"/>
              <w:spacing w:after="0"/>
              <w:rPr>
                <w:sz w:val="20"/>
                <w:szCs w:val="20"/>
                <w:color w:val="auto"/>
              </w:rPr>
            </w:pPr>
            <w:r>
              <w:rPr>
                <w:rFonts w:ascii="Times New Roman" w:cs="Times New Roman" w:eastAsia="Times New Roman" w:hAnsi="Times New Roman"/>
                <w:sz w:val="18"/>
                <w:szCs w:val="18"/>
                <w:color w:val="auto"/>
                <w:w w:val="99"/>
              </w:rPr>
              <w:t>0%</w:t>
            </w:r>
          </w:p>
        </w:tc>
      </w:tr>
      <w:tr>
        <w:trPr>
          <w:trHeight w:val="234"/>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82.05%</w:t>
            </w: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920" w:type="dxa"/>
            <w:vAlign w:val="bottom"/>
          </w:tcPr>
          <w:p>
            <w:pPr>
              <w:jc w:val="center"/>
              <w:ind w:right="458"/>
              <w:spacing w:after="0"/>
              <w:rPr>
                <w:sz w:val="20"/>
                <w:szCs w:val="20"/>
                <w:color w:val="auto"/>
              </w:rPr>
            </w:pPr>
            <w:r>
              <w:rPr>
                <w:rFonts w:ascii="Times New Roman" w:cs="Times New Roman" w:eastAsia="Times New Roman" w:hAnsi="Times New Roman"/>
                <w:sz w:val="18"/>
                <w:szCs w:val="18"/>
                <w:color w:val="auto"/>
                <w:w w:val="97"/>
              </w:rPr>
              <w:t>76.22%</w:t>
            </w:r>
          </w:p>
        </w:tc>
      </w:tr>
    </w:tbl>
    <w:p>
      <w:pPr>
        <w:spacing w:after="0" w:line="206" w:lineRule="exact"/>
        <w:rPr>
          <w:sz w:val="20"/>
          <w:szCs w:val="20"/>
          <w:color w:val="auto"/>
        </w:rPr>
      </w:pPr>
    </w:p>
    <w:p>
      <w:pPr>
        <w:ind w:right="500" w:firstLine="509"/>
        <w:spacing w:after="0" w:line="282" w:lineRule="auto"/>
        <w:rPr>
          <w:sz w:val="20"/>
          <w:szCs w:val="20"/>
          <w:color w:val="auto"/>
        </w:rPr>
      </w:pPr>
      <w:r>
        <w:rPr>
          <w:rFonts w:ascii="Times New Roman" w:cs="Times New Roman" w:eastAsia="Times New Roman" w:hAnsi="Times New Roman"/>
          <w:sz w:val="18"/>
          <w:szCs w:val="18"/>
          <w:color w:val="auto"/>
        </w:rPr>
        <w:t>Risk Free Interest Rate: The risk-free rate is based on the U.S. Treasury yields in effect at the time of grant for periods corresponding with the expected term of the option.</w:t>
      </w:r>
    </w:p>
    <w:p>
      <w:pPr>
        <w:spacing w:after="0" w:line="54"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Expected Term: The Company uses the simplified method to calculate expected term described in the SEC’s Staff Accounting Bulletin No. 107, which takes into account vesting term and expiration date of the options.</w:t>
      </w:r>
    </w:p>
    <w:p>
      <w:pPr>
        <w:spacing w:after="0" w:line="54"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Dividend Yield: The Company has never declared or paid any cash dividends and does not plan to pay cash dividends in the foreseeable future, and therefore, used an expected dividend yield of zero in the valuation model.</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Volatility: Volatility is based on the historical volatility of the Company’s publicly traded shares for the expected term.</w:t>
      </w:r>
    </w:p>
    <w:p>
      <w:pPr>
        <w:spacing w:after="0" w:line="3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RSU activity under the 2020 Plan as of March 31, 2025:</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00" w:type="dxa"/>
            <w:vAlign w:val="bottom"/>
          </w:tcPr>
          <w:p>
            <w:pPr>
              <w:spacing w:after="0"/>
              <w:rPr>
                <w:sz w:val="13"/>
                <w:szCs w:val="13"/>
                <w:color w:val="auto"/>
              </w:rPr>
            </w:pPr>
          </w:p>
        </w:tc>
        <w:tc>
          <w:tcPr>
            <w:tcW w:w="1680" w:type="dxa"/>
            <w:vAlign w:val="bottom"/>
          </w:tcPr>
          <w:p>
            <w:pPr>
              <w:ind w:left="8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7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14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Weighted-Average</w:t>
            </w:r>
          </w:p>
        </w:tc>
      </w:tr>
      <w:tr>
        <w:trPr>
          <w:trHeight w:val="173"/>
        </w:trPr>
        <w:tc>
          <w:tcPr>
            <w:tcW w:w="6100" w:type="dxa"/>
            <w:vAlign w:val="bottom"/>
          </w:tcPr>
          <w:p>
            <w:pPr>
              <w:spacing w:after="0"/>
              <w:rPr>
                <w:sz w:val="15"/>
                <w:szCs w:val="15"/>
                <w:color w:val="auto"/>
              </w:rPr>
            </w:pPr>
          </w:p>
        </w:tc>
        <w:tc>
          <w:tcPr>
            <w:tcW w:w="168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4"/>
                <w:szCs w:val="14"/>
                <w:b w:val="1"/>
                <w:bCs w:val="1"/>
                <w:color w:val="auto"/>
              </w:rPr>
              <w:t>Stock Units</w:t>
            </w:r>
          </w:p>
        </w:tc>
        <w:tc>
          <w:tcPr>
            <w:tcW w:w="72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c>
          <w:tcPr>
            <w:tcW w:w="100" w:type="dxa"/>
            <w:vAlign w:val="bottom"/>
          </w:tcPr>
          <w:p>
            <w:pPr>
              <w:spacing w:after="0"/>
              <w:rPr>
                <w:sz w:val="15"/>
                <w:szCs w:val="15"/>
                <w:color w:val="auto"/>
              </w:rPr>
            </w:pPr>
          </w:p>
        </w:tc>
      </w:tr>
      <w:tr>
        <w:trPr>
          <w:trHeight w:val="210"/>
        </w:trPr>
        <w:tc>
          <w:tcPr>
            <w:tcW w:w="7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shares at December 31, 2024</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907,666</w:t>
            </w:r>
          </w:p>
        </w:tc>
        <w:tc>
          <w:tcPr>
            <w:tcW w:w="60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shd w:val="clear" w:color="auto" w:fill="CFF0FC"/>
          </w:tcPr>
          <w:p>
            <w:pPr>
              <w:spacing w:after="0"/>
              <w:rPr>
                <w:sz w:val="18"/>
                <w:szCs w:val="18"/>
                <w:color w:val="auto"/>
              </w:rPr>
            </w:pPr>
          </w:p>
        </w:tc>
      </w:tr>
      <w:tr>
        <w:trPr>
          <w:trHeight w:val="216"/>
        </w:trPr>
        <w:tc>
          <w:tcPr>
            <w:tcW w:w="7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Granted</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Vested</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6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50"/>
        </w:trPr>
        <w:tc>
          <w:tcPr>
            <w:tcW w:w="61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shares at March 31, 2025</w:t>
            </w:r>
          </w:p>
        </w:tc>
        <w:tc>
          <w:tcPr>
            <w:tcW w:w="1680" w:type="dxa"/>
            <w:vAlign w:val="bottom"/>
            <w:tcBorders>
              <w:bottom w:val="single" w:sz="8" w:color="auto"/>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907,666</w:t>
            </w:r>
          </w:p>
        </w:tc>
        <w:tc>
          <w:tcPr>
            <w:tcW w:w="3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5396865</wp:posOffset>
            </wp:positionH>
            <wp:positionV relativeFrom="paragraph">
              <wp:posOffset>-24765</wp:posOffset>
            </wp:positionV>
            <wp:extent cx="7747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-8255</wp:posOffset>
            </wp:positionV>
            <wp:extent cx="7747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91" w:lineRule="exact"/>
        <w:rPr>
          <w:sz w:val="20"/>
          <w:szCs w:val="20"/>
          <w:color w:val="auto"/>
        </w:rPr>
      </w:pPr>
    </w:p>
    <w:p>
      <w:pPr>
        <w:jc w:val="both"/>
        <w:ind w:right="140" w:firstLine="509"/>
        <w:spacing w:after="0" w:line="282" w:lineRule="auto"/>
        <w:rPr>
          <w:sz w:val="20"/>
          <w:szCs w:val="20"/>
          <w:color w:val="auto"/>
        </w:rPr>
      </w:pPr>
      <w:r>
        <w:rPr>
          <w:rFonts w:ascii="Times New Roman" w:cs="Times New Roman" w:eastAsia="Times New Roman" w:hAnsi="Times New Roman"/>
          <w:sz w:val="18"/>
          <w:szCs w:val="18"/>
          <w:color w:val="auto"/>
        </w:rPr>
        <w:t>As of March 31, 2025, there was $281 of unrecognized compensation cost related to RSUs that are expected to vest. These costs are expected to be recognized over a weighted average remaining vesting period of 0.2 years.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Stock-based compensation expense recorded under ASC 718 related to stock options and RSUs granted and common stock issued under the 2020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ESPP were allocated to research and development and general and administrative expense as follows: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30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52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15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27"/>
        </w:trPr>
        <w:tc>
          <w:tcPr>
            <w:tcW w:w="43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85"/>
        </w:trPr>
        <w:tc>
          <w:tcPr>
            <w:tcW w:w="43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5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9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r>
      <w:tr>
        <w:trPr>
          <w:trHeight w:val="210"/>
        </w:trPr>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0" w:type="dxa"/>
            <w:vAlign w:val="bottom"/>
            <w:gridSpan w:val="2"/>
            <w:shd w:val="clear" w:color="auto" w:fill="CFF0FC"/>
          </w:tcPr>
          <w:p>
            <w:pPr>
              <w:jc w:val="right"/>
              <w:ind w:right="1368"/>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1100" w:type="dxa"/>
            <w:vAlign w:val="bottom"/>
            <w:gridSpan w:val="2"/>
            <w:shd w:val="clear" w:color="auto" w:fill="CFF0FC"/>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100" w:type="dxa"/>
            <w:vAlign w:val="bottom"/>
            <w:shd w:val="clear" w:color="auto" w:fill="CFF0FC"/>
          </w:tcPr>
          <w:p>
            <w:pPr>
              <w:spacing w:after="0"/>
              <w:rPr>
                <w:sz w:val="18"/>
                <w:szCs w:val="18"/>
                <w:color w:val="auto"/>
              </w:rPr>
            </w:pP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80" w:type="dxa"/>
            <w:vAlign w:val="bottom"/>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30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1,635</w:t>
            </w:r>
          </w:p>
        </w:tc>
        <w:tc>
          <w:tcPr>
            <w:tcW w:w="100" w:type="dxa"/>
            <w:vAlign w:val="bottom"/>
          </w:tcPr>
          <w:p>
            <w:pPr>
              <w:spacing w:after="0"/>
              <w:rPr>
                <w:sz w:val="18"/>
                <w:szCs w:val="18"/>
                <w:color w:val="auto"/>
              </w:rPr>
            </w:pPr>
          </w:p>
        </w:tc>
      </w:tr>
      <w:tr>
        <w:trPr>
          <w:trHeight w:val="229"/>
        </w:trPr>
        <w:tc>
          <w:tcPr>
            <w:tcW w:w="43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3400" w:type="dxa"/>
            <w:vAlign w:val="bottom"/>
            <w:gridSpan w:val="2"/>
            <w:shd w:val="clear" w:color="auto" w:fill="CFF0FC"/>
          </w:tcPr>
          <w:p>
            <w:pPr>
              <w:jc w:val="right"/>
              <w:ind w:right="1368"/>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1,508</w:t>
            </w:r>
          </w:p>
        </w:tc>
        <w:tc>
          <w:tcPr>
            <w:tcW w:w="1100" w:type="dxa"/>
            <w:vAlign w:val="bottom"/>
            <w:gridSpan w:val="2"/>
            <w:shd w:val="clear" w:color="auto" w:fill="CFF0FC"/>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2,610</w:t>
            </w:r>
          </w:p>
        </w:tc>
        <w:tc>
          <w:tcPr>
            <w:tcW w:w="100" w:type="dxa"/>
            <w:vAlign w:val="bottom"/>
            <w:shd w:val="clear" w:color="auto" w:fill="CFF0FC"/>
          </w:tcPr>
          <w:p>
            <w:pPr>
              <w:spacing w:after="0"/>
              <w:rPr>
                <w:sz w:val="19"/>
                <w:szCs w:val="19"/>
                <w:color w:val="auto"/>
              </w:rPr>
            </w:pPr>
          </w:p>
        </w:tc>
      </w:tr>
      <w:tr>
        <w:trPr>
          <w:trHeight w:val="20"/>
        </w:trPr>
        <w:tc>
          <w:tcPr>
            <w:tcW w:w="4300" w:type="dxa"/>
            <w:vAlign w:val="bottom"/>
            <w:tcBorders>
              <w:top w:val="single" w:sz="8" w:color="CFF0FC"/>
            </w:tcBorders>
            <w:shd w:val="clear" w:color="auto" w:fill="CFF0FC"/>
          </w:tcPr>
          <w:p>
            <w:pPr>
              <w:spacing w:after="0" w:line="20" w:lineRule="exact"/>
              <w:rPr>
                <w:sz w:val="1"/>
                <w:szCs w:val="1"/>
                <w:color w:val="auto"/>
              </w:rPr>
            </w:pPr>
          </w:p>
        </w:tc>
        <w:tc>
          <w:tcPr>
            <w:tcW w:w="1880" w:type="dxa"/>
            <w:vAlign w:val="bottom"/>
            <w:tcBorders>
              <w:top w:val="single" w:sz="8" w:color="CFF0FC"/>
            </w:tcBorders>
            <w:shd w:val="clear" w:color="auto" w:fill="CFF0FC"/>
          </w:tcPr>
          <w:p>
            <w:pPr>
              <w:spacing w:after="0" w:line="20" w:lineRule="exact"/>
              <w:rPr>
                <w:sz w:val="1"/>
                <w:szCs w:val="1"/>
                <w:color w:val="auto"/>
              </w:rPr>
            </w:pPr>
          </w:p>
        </w:tc>
        <w:tc>
          <w:tcPr>
            <w:tcW w:w="15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5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5396865</wp:posOffset>
            </wp:positionH>
            <wp:positionV relativeFrom="paragraph">
              <wp:posOffset>-25400</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-7620</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Stock-based compensation expense by award type included within the condensed consolidated statements of operations is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180" w:type="dxa"/>
            <w:vAlign w:val="bottom"/>
          </w:tcPr>
          <w:p>
            <w:pPr>
              <w:spacing w:after="0"/>
              <w:rPr>
                <w:sz w:val="15"/>
                <w:szCs w:val="15"/>
                <w:color w:val="auto"/>
              </w:rPr>
            </w:pPr>
          </w:p>
        </w:tc>
        <w:tc>
          <w:tcPr>
            <w:tcW w:w="152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15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27"/>
        </w:trPr>
        <w:tc>
          <w:tcPr>
            <w:tcW w:w="6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85"/>
        </w:trPr>
        <w:tc>
          <w:tcPr>
            <w:tcW w:w="6180" w:type="dxa"/>
            <w:vAlign w:val="bottom"/>
          </w:tcPr>
          <w:p>
            <w:pPr>
              <w:spacing w:after="0"/>
              <w:rPr>
                <w:sz w:val="16"/>
                <w:szCs w:val="16"/>
                <w:color w:val="auto"/>
              </w:rPr>
            </w:pPr>
          </w:p>
        </w:tc>
        <w:tc>
          <w:tcPr>
            <w:tcW w:w="152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9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r>
      <w:tr>
        <w:trPr>
          <w:trHeight w:val="209"/>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1520" w:type="dxa"/>
            <w:vAlign w:val="bottom"/>
            <w:shd w:val="clear" w:color="auto" w:fill="CFF0FC"/>
          </w:tcPr>
          <w:p>
            <w:pPr>
              <w:jc w:val="right"/>
              <w:ind w:right="1362"/>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1,149</w:t>
            </w:r>
          </w:p>
        </w:tc>
        <w:tc>
          <w:tcPr>
            <w:tcW w:w="1100" w:type="dxa"/>
            <w:vAlign w:val="bottom"/>
            <w:gridSpan w:val="2"/>
            <w:shd w:val="clear" w:color="auto" w:fill="CFF0FC"/>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2,214</w:t>
            </w:r>
          </w:p>
        </w:tc>
        <w:tc>
          <w:tcPr>
            <w:tcW w:w="100" w:type="dxa"/>
            <w:vAlign w:val="bottom"/>
            <w:shd w:val="clear" w:color="auto" w:fill="CFF0FC"/>
          </w:tcPr>
          <w:p>
            <w:pPr>
              <w:spacing w:after="0"/>
              <w:rPr>
                <w:sz w:val="18"/>
                <w:szCs w:val="18"/>
                <w:color w:val="auto"/>
              </w:rPr>
            </w:pP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15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00" w:type="dxa"/>
            <w:vAlign w:val="bottom"/>
          </w:tcPr>
          <w:p>
            <w:pPr>
              <w:spacing w:after="0"/>
              <w:rPr>
                <w:sz w:val="18"/>
                <w:szCs w:val="18"/>
                <w:color w:val="auto"/>
              </w:rPr>
            </w:pPr>
          </w:p>
        </w:tc>
      </w:tr>
      <w:tr>
        <w:trPr>
          <w:trHeight w:val="216"/>
        </w:trPr>
        <w:tc>
          <w:tcPr>
            <w:tcW w:w="6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52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30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1520" w:type="dxa"/>
            <w:vAlign w:val="bottom"/>
          </w:tcPr>
          <w:p>
            <w:pPr>
              <w:jc w:val="right"/>
              <w:ind w:right="1362"/>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1,508</w:t>
            </w:r>
          </w:p>
        </w:tc>
        <w:tc>
          <w:tcPr>
            <w:tcW w:w="110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2,610</w:t>
            </w:r>
          </w:p>
        </w:tc>
        <w:tc>
          <w:tcPr>
            <w:tcW w:w="100" w:type="dxa"/>
            <w:vAlign w:val="bottom"/>
          </w:tcPr>
          <w:p>
            <w:pPr>
              <w:spacing w:after="0"/>
              <w:rPr>
                <w:sz w:val="18"/>
                <w:szCs w:val="18"/>
                <w:color w:val="auto"/>
              </w:rPr>
            </w:pPr>
          </w:p>
        </w:tc>
      </w:tr>
      <w:tr>
        <w:trPr>
          <w:trHeight w:val="20"/>
        </w:trPr>
        <w:tc>
          <w:tcPr>
            <w:tcW w:w="618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5396865</wp:posOffset>
            </wp:positionH>
            <wp:positionV relativeFrom="paragraph">
              <wp:posOffset>-170815</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9. Income Taxes</w:t>
      </w:r>
    </w:p>
    <w:p>
      <w:pPr>
        <w:spacing w:after="0" w:line="121"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The Company’s effective tax rates were 11% and 0% for the three months ended March 31, 2025 and 2024, respectively. The income tax provision and effective tax rate are driven primarily by the proceeds from the sale of the Company’s New Jersey tax net operating loss carryforwards and research and development (“R&amp;D”) tax credits.</w:t>
      </w:r>
    </w:p>
    <w:p>
      <w:pPr>
        <w:spacing w:after="0" w:line="68"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2025 and 2024, the Company recorded a full valuation allowance on federal and state net deferred tax assets since management does not forecast the Company to be in a taxable position in the near future.</w:t>
      </w:r>
    </w:p>
    <w:p>
      <w:pPr>
        <w:spacing w:after="0" w:line="54"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The State of New Jersey’s Technology Business Tax Certificate Program allows certain high technology and biotechnology companies to sell unused net-operating loss (“NOL”) carryforwards and R&amp;D tax credits to other New Jersey-based corporate taxpayers. As of March 31, 2025, the Company received $18,372 of cash for the NOL and R&amp;D tax credit sales related to the tax years ended December 31, 2015 to 2023. For the three months ended March 31, 2025, we received a benefit for income taxes of $2,196. We did not receive any benefit for income taxes for the three months ended March 31, 2024.</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10. Net Loss per Share</w:t>
      </w:r>
    </w:p>
    <w:p>
      <w:pPr>
        <w:spacing w:after="0" w:line="121"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The Company excluded all outstanding stock options and RSU awards at each period end from the computation of diluted net loss per share attributable to common stockholders for the periods indicated because including them would have had an anti-dilutive effect. The following common stock equivalents were excluded from the calculation of diluted net loss per share:</w:t>
      </w:r>
    </w:p>
    <w:p>
      <w:pPr>
        <w:spacing w:after="0" w:line="169" w:lineRule="exact"/>
        <w:rPr>
          <w:sz w:val="20"/>
          <w:szCs w:val="20"/>
          <w:color w:val="auto"/>
        </w:rPr>
      </w:pPr>
    </w:p>
    <w:p>
      <w:pPr>
        <w:ind w:left="8120"/>
        <w:spacing w:after="0"/>
        <w:rPr>
          <w:sz w:val="20"/>
          <w:szCs w:val="20"/>
          <w:color w:val="auto"/>
        </w:rPr>
      </w:pPr>
      <w:r>
        <w:rPr>
          <w:rFonts w:ascii="Times New Roman" w:cs="Times New Roman" w:eastAsia="Times New Roman" w:hAnsi="Times New Roman"/>
          <w:sz w:val="14"/>
          <w:szCs w:val="14"/>
          <w:b w:val="1"/>
          <w:bCs w:val="1"/>
          <w:color w:val="auto"/>
        </w:rPr>
        <w:t>As of March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6100" w:type="dxa"/>
            <w:vAlign w:val="bottom"/>
          </w:tcPr>
          <w:p>
            <w:pPr>
              <w:spacing w:after="0"/>
              <w:rPr>
                <w:sz w:val="12"/>
                <w:szCs w:val="12"/>
                <w:color w:val="auto"/>
              </w:rPr>
            </w:pPr>
          </w:p>
        </w:tc>
        <w:tc>
          <w:tcPr>
            <w:tcW w:w="1460" w:type="dxa"/>
            <w:vAlign w:val="bottom"/>
            <w:tcBorders>
              <w:top w:val="single" w:sz="8" w:color="auto"/>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94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380" w:type="dxa"/>
            <w:vAlign w:val="bottom"/>
            <w:tcBorders>
              <w:top w:val="single" w:sz="8" w:color="auto"/>
              <w:bottom w:val="single" w:sz="8" w:color="auto"/>
            </w:tcBorders>
          </w:tcPr>
          <w:p>
            <w:pPr>
              <w:jc w:val="right"/>
              <w:ind w:right="95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5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12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11,947,135</w:t>
            </w:r>
          </w:p>
        </w:tc>
        <w:tc>
          <w:tcPr>
            <w:tcW w:w="24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9,065,479</w:t>
            </w:r>
          </w:p>
        </w:tc>
        <w:tc>
          <w:tcPr>
            <w:tcW w:w="0" w:type="dxa"/>
            <w:vAlign w:val="bottom"/>
          </w:tcPr>
          <w:p>
            <w:pPr>
              <w:spacing w:after="0"/>
              <w:rPr>
                <w:sz w:val="1"/>
                <w:szCs w:val="1"/>
                <w:color w:val="auto"/>
              </w:rPr>
            </w:pPr>
          </w:p>
        </w:tc>
      </w:tr>
      <w:tr>
        <w:trPr>
          <w:trHeight w:val="216"/>
        </w:trPr>
        <w:tc>
          <w:tcPr>
            <w:tcW w:w="7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Unvested restricted common stock units</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907,666</w:t>
            </w:r>
          </w:p>
        </w:tc>
        <w:tc>
          <w:tcPr>
            <w:tcW w:w="2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1,136,411</w:t>
            </w:r>
          </w:p>
        </w:tc>
        <w:tc>
          <w:tcPr>
            <w:tcW w:w="0" w:type="dxa"/>
            <w:vAlign w:val="bottom"/>
          </w:tcPr>
          <w:p>
            <w:pPr>
              <w:spacing w:after="0"/>
              <w:rPr>
                <w:sz w:val="1"/>
                <w:szCs w:val="1"/>
                <w:color w:val="auto"/>
              </w:rPr>
            </w:pPr>
          </w:p>
        </w:tc>
      </w:tr>
      <w:tr>
        <w:trPr>
          <w:trHeight w:val="216"/>
        </w:trPr>
        <w:tc>
          <w:tcPr>
            <w:tcW w:w="61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shares to be purchased under 2020 ESPP</w:t>
            </w:r>
          </w:p>
        </w:tc>
        <w:tc>
          <w:tcPr>
            <w:tcW w:w="14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18,898</w:t>
            </w:r>
          </w:p>
        </w:tc>
        <w:tc>
          <w:tcPr>
            <w:tcW w:w="260" w:type="dxa"/>
            <w:vAlign w:val="bottom"/>
            <w:tcBorders>
              <w:bottom w:val="single" w:sz="8" w:color="CFF0FC"/>
            </w:tcBorders>
            <w:shd w:val="clear" w:color="auto" w:fill="CFF0FC"/>
          </w:tcPr>
          <w:p>
            <w:pPr>
              <w:spacing w:after="0"/>
              <w:rPr>
                <w:sz w:val="18"/>
                <w:szCs w:val="18"/>
                <w:color w:val="auto"/>
              </w:rPr>
            </w:pPr>
          </w:p>
        </w:tc>
        <w:tc>
          <w:tcPr>
            <w:tcW w:w="2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11,405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12,873,699</w:t>
            </w:r>
          </w:p>
        </w:tc>
        <w:tc>
          <w:tcPr>
            <w:tcW w:w="2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10,213,295</w:t>
            </w:r>
          </w:p>
        </w:tc>
        <w:tc>
          <w:tcPr>
            <w:tcW w:w="0" w:type="dxa"/>
            <w:vAlign w:val="bottom"/>
          </w:tcPr>
          <w:p>
            <w:pPr>
              <w:spacing w:after="0"/>
              <w:rPr>
                <w:sz w:val="1"/>
                <w:szCs w:val="1"/>
                <w:color w:val="auto"/>
              </w:rPr>
            </w:pPr>
          </w:p>
        </w:tc>
      </w:tr>
      <w:tr>
        <w:trPr>
          <w:trHeight w:val="20"/>
        </w:trPr>
        <w:tc>
          <w:tcPr>
            <w:tcW w:w="6100" w:type="dxa"/>
            <w:vAlign w:val="bottom"/>
            <w:vMerge w:val="restart"/>
          </w:tcPr>
          <w:p>
            <w:pPr>
              <w:ind w:left="5540"/>
              <w:spacing w:after="0"/>
              <w:rPr>
                <w:sz w:val="20"/>
                <w:szCs w:val="20"/>
                <w:color w:val="auto"/>
              </w:rPr>
            </w:pPr>
            <w:r>
              <w:rPr>
                <w:rFonts w:ascii="Times New Roman" w:cs="Times New Roman" w:eastAsia="Times New Roman" w:hAnsi="Times New Roman"/>
                <w:sz w:val="18"/>
                <w:szCs w:val="18"/>
                <w:color w:val="auto"/>
              </w:rPr>
              <w:t>14</w:t>
            </w:r>
          </w:p>
        </w:tc>
        <w:tc>
          <w:tcPr>
            <w:tcW w:w="14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8"/>
        </w:trPr>
        <w:tc>
          <w:tcPr>
            <w:tcW w:w="6100" w:type="dxa"/>
            <w:vAlign w:val="bottom"/>
            <w:vMerge w:val="continue"/>
          </w:tcPr>
          <w:p>
            <w:pPr>
              <w:spacing w:after="0"/>
              <w:rPr>
                <w:sz w:val="24"/>
                <w:szCs w:val="24"/>
                <w:color w:val="auto"/>
              </w:rPr>
            </w:pPr>
          </w:p>
        </w:tc>
        <w:tc>
          <w:tcPr>
            <w:tcW w:w="1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610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-1053465</wp:posOffset>
            </wp:positionV>
            <wp:extent cx="7747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-1053465</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11. Related Parties</w:t>
      </w:r>
    </w:p>
    <w:p>
      <w:pPr>
        <w:spacing w:after="0" w:line="121" w:lineRule="exact"/>
        <w:rPr>
          <w:sz w:val="20"/>
          <w:szCs w:val="20"/>
          <w:color w:val="auto"/>
        </w:rPr>
      </w:pPr>
    </w:p>
    <w:p>
      <w:pPr>
        <w:jc w:val="both"/>
        <w:ind w:right="560" w:firstLine="509"/>
        <w:spacing w:after="0" w:line="266" w:lineRule="auto"/>
        <w:rPr>
          <w:sz w:val="20"/>
          <w:szCs w:val="20"/>
          <w:color w:val="auto"/>
        </w:rPr>
      </w:pPr>
      <w:r>
        <w:rPr>
          <w:rFonts w:ascii="Times New Roman" w:cs="Times New Roman" w:eastAsia="Times New Roman" w:hAnsi="Times New Roman"/>
          <w:sz w:val="18"/>
          <w:szCs w:val="18"/>
          <w:color w:val="auto"/>
        </w:rPr>
        <w:t>The Company has consulting agreements with three members of its board of directors; one of which waived his consulting fees starting as of September 2021. Total consulting fees paid during the three months ended March 31, 2025 and 2024 were $50 and $37, respectively. There were no amounts owed under the consulting agreements as of March 31, 2025.</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12. Restructuring</w:t>
      </w:r>
    </w:p>
    <w:p>
      <w:pPr>
        <w:spacing w:after="0" w:line="121" w:lineRule="exact"/>
        <w:rPr>
          <w:sz w:val="20"/>
          <w:szCs w:val="20"/>
          <w:color w:val="auto"/>
        </w:rPr>
      </w:pPr>
    </w:p>
    <w:p>
      <w:pPr>
        <w:ind w:right="280" w:firstLine="509"/>
        <w:spacing w:after="0" w:line="261" w:lineRule="auto"/>
        <w:rPr>
          <w:sz w:val="20"/>
          <w:szCs w:val="20"/>
          <w:color w:val="auto"/>
        </w:rPr>
      </w:pPr>
      <w:r>
        <w:rPr>
          <w:rFonts w:ascii="Times New Roman" w:cs="Times New Roman" w:eastAsia="Times New Roman" w:hAnsi="Times New Roman"/>
          <w:sz w:val="18"/>
          <w:szCs w:val="18"/>
          <w:color w:val="auto"/>
        </w:rPr>
        <w:t>On January 18, 2024, the Company announced a restructuring plan involving the reduction of its workforce by approximately 30% of the Company’s employees. The Company undertook these steps in order to streamline operations, reduce costs and preserve capital as it advances into late-stage development for its lead product candidate, rezatapopt. All of the costs under the restructuring plan were incurred and paid in full during the fiscal year ending December 31, 2024.</w:t>
      </w:r>
    </w:p>
    <w:p>
      <w:pPr>
        <w:spacing w:after="0" w:line="85" w:lineRule="exact"/>
        <w:rPr>
          <w:sz w:val="20"/>
          <w:szCs w:val="20"/>
          <w:color w:val="auto"/>
        </w:rPr>
      </w:pPr>
    </w:p>
    <w:p>
      <w:pPr>
        <w:ind w:right="360" w:firstLine="509"/>
        <w:spacing w:after="0" w:line="266" w:lineRule="auto"/>
        <w:rPr>
          <w:sz w:val="20"/>
          <w:szCs w:val="20"/>
          <w:color w:val="auto"/>
        </w:rPr>
      </w:pPr>
      <w:r>
        <w:rPr>
          <w:rFonts w:ascii="Times New Roman" w:cs="Times New Roman" w:eastAsia="Times New Roman" w:hAnsi="Times New Roman"/>
          <w:sz w:val="18"/>
          <w:szCs w:val="18"/>
          <w:color w:val="auto"/>
        </w:rPr>
        <w:t>As a result of the reduction in force, the Company incurred an aggregate non-recurring charge of $0.6 million, consisting primarily of employee severance and benefit costs associated with the restructuring. The Company has recorded these charges in research and development expenses in the accompanying condensed consolidated statement of operations based on responsibilities of the impacted employees.</w:t>
      </w:r>
    </w:p>
    <w:p>
      <w:pPr>
        <w:spacing w:after="0" w:line="81"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The Company accounts for employee termination benefits that represent a one-time benefit in accordance with ASC Topic 420, Exit or Disposal Cost Obligations. It records such costs into expense over the employee’s future service period, if any.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13. Segment Information</w:t>
      </w:r>
    </w:p>
    <w:p>
      <w:pPr>
        <w:spacing w:after="0" w:line="121"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The Company has viewed its operations and manages its business as one operating and reporting segment. Operating segments are identified as components of an enterprise for which separate discrete financial information is available for evaluation by the Company’s CODM to make decisions with respect to resource allocation and assessment of performance. The Company’s CODM is its Chief Executive Officer (the “CEO”), who reviews and evaluates consolidated net loss for purposes of assessing performance, making operating decisions, allocating resources, and planning and forecasting for future periods. The determination of a single segment is consistent with the financial information regularly reviewed by the CEO.</w:t>
      </w:r>
    </w:p>
    <w:p>
      <w:pPr>
        <w:spacing w:after="0" w:line="75" w:lineRule="exact"/>
        <w:rPr>
          <w:sz w:val="20"/>
          <w:szCs w:val="20"/>
          <w:color w:val="auto"/>
        </w:rPr>
      </w:pPr>
    </w:p>
    <w:p>
      <w:pPr>
        <w:ind w:right="60" w:firstLine="509"/>
        <w:spacing w:after="0" w:line="312" w:lineRule="auto"/>
        <w:rPr>
          <w:sz w:val="20"/>
          <w:szCs w:val="20"/>
          <w:color w:val="auto"/>
        </w:rPr>
      </w:pPr>
      <w:r>
        <w:rPr>
          <w:rFonts w:ascii="Times New Roman" w:cs="Times New Roman" w:eastAsia="Times New Roman" w:hAnsi="Times New Roman"/>
          <w:sz w:val="17"/>
          <w:szCs w:val="17"/>
          <w:color w:val="auto"/>
        </w:rPr>
        <w:t>The CEO regularly reviews the condensed consolidated statement of operations and a disaggregation of operating expenses, of which the significant expenses are related to research and development. The following table represents the significant segment expenses regularly provided to the CEO:</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94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52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15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94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152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8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540" w:type="dxa"/>
            <w:vAlign w:val="bottom"/>
          </w:tcPr>
          <w:p>
            <w:pPr>
              <w:jc w:val="right"/>
              <w:ind w:right="773"/>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940" w:type="dxa"/>
            <w:vAlign w:val="bottom"/>
          </w:tcPr>
          <w:p>
            <w:pPr>
              <w:spacing w:after="0"/>
              <w:rPr>
                <w:sz w:val="15"/>
                <w:szCs w:val="15"/>
                <w:color w:val="auto"/>
              </w:rPr>
            </w:pPr>
          </w:p>
        </w:tc>
        <w:tc>
          <w:tcPr>
            <w:tcW w:w="3760" w:type="dxa"/>
            <w:vAlign w:val="bottom"/>
            <w:gridSpan w:val="2"/>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540" w:type="dxa"/>
            <w:vAlign w:val="bottom"/>
          </w:tcPr>
          <w:p>
            <w:pPr>
              <w:jc w:val="right"/>
              <w:ind w:right="9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40" w:type="dxa"/>
            <w:vAlign w:val="bottom"/>
            <w:shd w:val="clear" w:color="auto" w:fill="CFF0FC"/>
          </w:tcPr>
          <w:p>
            <w:pPr>
              <w:spacing w:after="0"/>
              <w:rPr>
                <w:sz w:val="18"/>
                <w:szCs w:val="18"/>
                <w:color w:val="auto"/>
              </w:rPr>
            </w:pPr>
          </w:p>
        </w:tc>
        <w:tc>
          <w:tcPr>
            <w:tcW w:w="152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15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Research</w:t>
            </w:r>
          </w:p>
        </w:tc>
        <w:tc>
          <w:tcPr>
            <w:tcW w:w="3760" w:type="dxa"/>
            <w:vAlign w:val="bottom"/>
            <w:gridSpan w:val="2"/>
          </w:tcPr>
          <w:p>
            <w:pPr>
              <w:jc w:val="right"/>
              <w:ind w:right="1373"/>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1,283</w:t>
            </w:r>
          </w:p>
        </w:tc>
        <w:tc>
          <w:tcPr>
            <w:tcW w:w="110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Development</w:t>
            </w:r>
          </w:p>
        </w:tc>
        <w:tc>
          <w:tcPr>
            <w:tcW w:w="224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11,951</w:t>
            </w:r>
          </w:p>
        </w:tc>
        <w:tc>
          <w:tcPr>
            <w:tcW w:w="3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6,788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Personnel related</w:t>
            </w:r>
          </w:p>
        </w:tc>
        <w:tc>
          <w:tcPr>
            <w:tcW w:w="22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3,570</w:t>
            </w: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Stock-based compensation</w:t>
            </w:r>
          </w:p>
        </w:tc>
        <w:tc>
          <w:tcPr>
            <w:tcW w:w="2240" w:type="dxa"/>
            <w:vAlign w:val="bottom"/>
            <w:tcBorders>
              <w:bottom w:val="single" w:sz="8" w:color="CFF0FC"/>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30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Total research and development</w:t>
            </w:r>
          </w:p>
        </w:tc>
        <w:tc>
          <w:tcPr>
            <w:tcW w:w="22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17,441</w:t>
            </w:r>
          </w:p>
        </w:tc>
        <w:tc>
          <w:tcPr>
            <w:tcW w:w="110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administration</w:t>
            </w:r>
          </w:p>
        </w:tc>
        <w:tc>
          <w:tcPr>
            <w:tcW w:w="224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Personnel related</w:t>
            </w:r>
          </w:p>
        </w:tc>
        <w:tc>
          <w:tcPr>
            <w:tcW w:w="3760" w:type="dxa"/>
            <w:vAlign w:val="bottom"/>
            <w:gridSpan w:val="2"/>
          </w:tcPr>
          <w:p>
            <w:pPr>
              <w:jc w:val="right"/>
              <w:ind w:right="1373"/>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1,479</w:t>
            </w:r>
          </w:p>
        </w:tc>
        <w:tc>
          <w:tcPr>
            <w:tcW w:w="110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Stock-based compensation</w:t>
            </w:r>
          </w:p>
        </w:tc>
        <w:tc>
          <w:tcPr>
            <w:tcW w:w="224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3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External</w:t>
            </w:r>
          </w:p>
        </w:tc>
        <w:tc>
          <w:tcPr>
            <w:tcW w:w="2240" w:type="dxa"/>
            <w:vAlign w:val="bottom"/>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1,773</w:t>
            </w:r>
          </w:p>
        </w:tc>
        <w:tc>
          <w:tcPr>
            <w:tcW w:w="30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general and administrative</w:t>
            </w:r>
          </w:p>
        </w:tc>
        <w:tc>
          <w:tcPr>
            <w:tcW w:w="2240" w:type="dxa"/>
            <w:vAlign w:val="bottom"/>
            <w:tcBorders>
              <w:bottom w:val="single" w:sz="8" w:color="CFF0FC"/>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4,123</w:t>
            </w:r>
          </w:p>
        </w:tc>
        <w:tc>
          <w:tcPr>
            <w:tcW w:w="30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5,035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3760" w:type="dxa"/>
            <w:vAlign w:val="bottom"/>
            <w:gridSpan w:val="2"/>
          </w:tcPr>
          <w:p>
            <w:pPr>
              <w:jc w:val="right"/>
              <w:ind w:right="1373"/>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21,564</w:t>
            </w:r>
          </w:p>
        </w:tc>
        <w:tc>
          <w:tcPr>
            <w:tcW w:w="110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2240" w:type="dxa"/>
            <w:vAlign w:val="bottom"/>
            <w:vMerge w:val="restart"/>
          </w:tcPr>
          <w:p>
            <w:pPr>
              <w:jc w:val="right"/>
              <w:ind w:right="374"/>
              <w:spacing w:after="0"/>
              <w:rPr>
                <w:sz w:val="20"/>
                <w:szCs w:val="20"/>
                <w:color w:val="auto"/>
              </w:rPr>
            </w:pPr>
            <w:r>
              <w:rPr>
                <w:rFonts w:ascii="Times New Roman" w:cs="Times New Roman" w:eastAsia="Times New Roman" w:hAnsi="Times New Roman"/>
                <w:sz w:val="18"/>
                <w:szCs w:val="18"/>
                <w:color w:val="auto"/>
              </w:rPr>
              <w:t>15</w:t>
            </w:r>
          </w:p>
        </w:tc>
        <w:tc>
          <w:tcPr>
            <w:tcW w:w="15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1"/>
        </w:trPr>
        <w:tc>
          <w:tcPr>
            <w:tcW w:w="3940" w:type="dxa"/>
            <w:vAlign w:val="bottom"/>
          </w:tcPr>
          <w:p>
            <w:pPr>
              <w:spacing w:after="0"/>
              <w:rPr>
                <w:sz w:val="24"/>
                <w:szCs w:val="24"/>
                <w:color w:val="auto"/>
              </w:rPr>
            </w:pPr>
          </w:p>
        </w:tc>
        <w:tc>
          <w:tcPr>
            <w:tcW w:w="2240" w:type="dxa"/>
            <w:vAlign w:val="bottom"/>
            <w:vMerge w:val="continue"/>
          </w:tcPr>
          <w:p>
            <w:pPr>
              <w:spacing w:after="0"/>
              <w:rPr>
                <w:sz w:val="24"/>
                <w:szCs w:val="24"/>
                <w:color w:val="auto"/>
              </w:rPr>
            </w:pPr>
          </w:p>
        </w:tc>
        <w:tc>
          <w:tcPr>
            <w:tcW w:w="15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394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-1902460</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-1902460</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-1062355</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-1062355</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of our financial condition and results of operations in conjunction with our unaudited condensed consolidated financial statements and the related notes and other financial information included in this Quarterly Report on Form 10-Q and our audited condensed consolidated financial statements and notes thereto as of and for the years ended December 31, 2024 and 2023 and the related “Management’s Discussion and Analysis of Financial Condition and Results of Operations,” including “Contractual Obligations and Commitments” and “Critical Accounting Policies and Estimates,” included in our Annual Report on Form 10-K for the fiscal year ended December 31, 2024 filed with the Securities and Exchange Commission, or the SEC, on March 3, 2025. Unless the context requires otherwise, references in this Quarterly Report on Form 10-Q to “we,” “us,” and “our” refer to PMV Pharmaceuticals, Inc.</w:t>
      </w:r>
    </w:p>
    <w:p>
      <w:pPr>
        <w:spacing w:after="0" w:line="75"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In addition to historical information, this Quarterly Report on Form 10-Q contains forward-looking statements that involve risks, uncertainties, and assumptions. Our actual results may differ materially from those anticipated in these forward-looking statements as a result of various factors, including but not limited to those set forth under the captions “Special Note Regarding Forward-Looking Statements,” “Item 1A. Risk Factors” and elsewhere in our Annual Report on Form 10-K for the fiscal year ended December 31, 2024, as updated by our subsequent filings under the Securities Exchange Act of 1934, as amended. Furthermore, past operating results are not necessarily indicative of results that may occur in future periods.</w:t>
      </w: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are a precision oncology company pioneering the discovery and development of small molecule, tumor-agnostic therapies targeting p53. p53 is a well-defined tumor suppressor protein known as the “guardian of the genome,” and normal, or wild-type, p53 has the ability to eliminate cancer cells. However, mutant p53 proteins can be misfolded and lose their wild-type tumor suppressing function. These p53 mutations are found in approximately half of all cancers. The field of p53 biology was established by our co-founder Dr. Arnold Levine when he discovered the p53 protein in 1979. We have leveraged more than four decades of research experience and developed unique insights into p53 to create a precision oncology platform designed to generate selective, small molecule, tumor-agnostic therapies that structurally correct specific mutant p53 proteins to restore their wild-type function. We are deploying our precision oncology platform to target p53 mutations and other p53-related cancers.</w:t>
      </w:r>
    </w:p>
    <w:p>
      <w:pPr>
        <w:spacing w:after="0" w:line="8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Since our formation in March 2013, we have devoted substantially all of our time and efforts to performing research and development activities and raising capital. We are not profitable and have incurred losses in each year since our inception. During the three months ended March 31, 2025, we incurred net losses of $17.4 million. As of March 31, 2025, we had an accumulated deficit of $386.1 million. We do not currently have any product candidates approved for sale, and we continue to incur significant research and development and general administrative expenses related to our operations. We initiated a Phase 1/2 clinical trial, PYNNACLE, in October 2020 for our lead product candidate, rezatapopt. Our strategy is to seek approval under an accelerated pathway, and we believe our PYNNACLE clinical trial has the potential to serve as a pivotal study. In October 2020, we were granted FDA Fast Track designation of rezatapopt for the treatment of patients with locally advanced or metastatic solid tumors that have a p53 Y220C mutation. In July 2023, we met with the FDA at an End of Phase 1 meeting where alignment was obtained on the recommended Phase 2 dose and key elements of the single arm, Phase 2 registrational portion of the PYNNACLE study. In October 2023, we presented our updated Phase 1 clinical data for rezatapopt at the 2023 AACR-NCI-EORTC International Conference on Molecular Targets and Cancer Therapeutics Annual Meeting. We dosed our first patient in the pivotal Phase 2 monotherapy portion of the PYNNACLE study in the first quarter of 2024. We are continuing to dose patients in the pivotal Phase 2 monotherapy portion of our PYNNACLE trial, and have activated over 90% of sites globally across the U.S., U.K., Europe and Asia-Pacific. We also expect to provide interim data on the Phase 2 monotherapy registrational portion of the PYNNACLE trial by mid-2025, with interim analysis data for approximately 50 patients, of which approximately 40% are in the ovarian cancer cohort, who have been followed for at least 18 weeks. In October 2024, we discontinued enrollment in the Phase 1b combination arm of the PYNNACLE trial evaluating rezatapopt in combination with Merck and Co.’s anti-PD-1 therapy KEYTRUDA® (pembrolizumab) in patients with advanced solid tumors harboring a TP53 Y220C mutation. Additionally, we announced that we are collaborating with the MD Anderson Cancer Center, or MDACC, and the Memorial Sloan Kettering Cancer Center to support an investigator-initiated Phase 1b study, which is designed to assess the safety, tolerability, pharmacokinetics, and preliminary efficacy of rezatapopt monotherapy in combination with azacitidine in relapsed or refractory, or R/R, acute myeloid leukemia, or AML, and myelodysplastic syndromes, or MDS, patients harboring a TP53 Y220C mutation. MDACC dosed its first patient for this Phase 1b study in the first quarter of 2025.</w:t>
      </w:r>
    </w:p>
    <w:p>
      <w:pPr>
        <w:spacing w:after="0" w:line="8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We expect that our operating expenses will increase significantly as we advance our product candidates through preclinical and clinical development, seek regulatory approval, and prepare for and, if approved, proceed to commercialization; acquire, discover, validate, and develop additional product candidates; obtain, maintain, protect, and enforce our intellectual property portfolio; and hire additional personnel. We expect to continue to incur significant losses for the foreseeable future.</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20" w:name="page21"/>
    <w:bookmarkEnd w:id="20"/>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Our ability to generate product revenue will depend on the successful development, regulatory approval, and eventual commercialization of one or more of our product candidates. Until such time as we can generate significant revenue from product sales, if ever, we expect to finance our operations through private or public equity or debt financings, collaborative, or other arrangements with corporate sources, or through other sources of financing. Adequate funding may not be available to us on acceptable terms, or at all. If we fail to raise capital or enter into such agreements as and when needed, we may have to significantly delay, scale back or discontinue the development and commercialization of our product candidates.</w:t>
      </w:r>
    </w:p>
    <w:p>
      <w:pPr>
        <w:spacing w:after="0" w:line="75" w:lineRule="exact"/>
        <w:rPr>
          <w:sz w:val="20"/>
          <w:szCs w:val="20"/>
          <w:color w:val="auto"/>
        </w:rPr>
      </w:pPr>
    </w:p>
    <w:p>
      <w:pPr>
        <w:jc w:val="both"/>
        <w:ind w:right="880" w:firstLine="509"/>
        <w:spacing w:after="0" w:line="266" w:lineRule="auto"/>
        <w:rPr>
          <w:sz w:val="20"/>
          <w:szCs w:val="20"/>
          <w:color w:val="auto"/>
        </w:rPr>
      </w:pPr>
      <w:r>
        <w:rPr>
          <w:rFonts w:ascii="Times New Roman" w:cs="Times New Roman" w:eastAsia="Times New Roman" w:hAnsi="Times New Roman"/>
          <w:sz w:val="18"/>
          <w:szCs w:val="18"/>
          <w:color w:val="auto"/>
        </w:rPr>
        <w:t>We plan to continue to use third-party service providers, including clinical research organizations, or CROs, and contract manufacturing organization, or CMOs, to carry out our preclinical and clinical development and to manufacture and supply the materials to be used during the development and commercialization of our product candidates. We do not currently have a sales force.</w:t>
      </w:r>
    </w:p>
    <w:p>
      <w:pPr>
        <w:spacing w:after="0" w:line="2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jc w:val="both"/>
        <w:ind w:right="60" w:firstLine="509"/>
        <w:spacing w:after="0" w:line="261" w:lineRule="auto"/>
        <w:rPr>
          <w:sz w:val="20"/>
          <w:szCs w:val="20"/>
          <w:color w:val="auto"/>
        </w:rPr>
      </w:pPr>
      <w:r>
        <w:rPr>
          <w:rFonts w:ascii="Times New Roman" w:cs="Times New Roman" w:eastAsia="Times New Roman" w:hAnsi="Times New Roman"/>
          <w:sz w:val="18"/>
          <w:szCs w:val="18"/>
          <w:color w:val="auto"/>
        </w:rPr>
        <w:t>To date, we have not generated any revenue from any sources, including from product sales, and we do not expect to generate any revenue from the sale of products in the foreseeable future. If our development efforts for our product candidates are successful and result in regulatory approval, or result in license agreements with third parties, we may generate revenue in the future from product sales or license agreements. However, there can be no assurance as to when we will generate such revenue, if at all.</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Our research and development expenses consist primarily of costs incurred to conduct research, such as the discovery and development of our product candidates as well as the development of future product candidates. Research and development expenses include personnel costs, including stock-based compensation expense, third-party contractor services, laboratory materials and supplies, and depreciation and maintenance of research equipment. We expense research and development costs as they are incurred.</w:t>
      </w:r>
    </w:p>
    <w:p>
      <w:pPr>
        <w:spacing w:after="0" w:line="72"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We do not allocate our costs by product candidate or development program, as a significant amount of research and development expenses include compensation costs, materials, supplies, depreciation on and maintenance of research equipment, and the cost of services provided by outside contractors, which are not tracked by product candidate or development program. In particular, with respect to internal costs, several of our departments support multiple product candidate research and development programs, and therefore the costs cannot be allocated to a particular product candidate or development program. Substantially all of our research and development costs are associated with our lead product candidate, rezatapopt. We initiated our Phase 1/2 PYNNACLE clinical trial in October 2020, and on that date, we were granted FDA Fast Track designation of rezatapopt for the treatment of patients with locally advanced or metastatic solid tumors that have a p53 Y220C mutation. In October 2023, we presented our updated Phase 1 clinical data for rezatapopt at the 2023 AACR-NCI-EORTC International Conference on Molecular Targets and Cancer Therapeutics Meeting. We are continuing to dose patients and have activated over 90% of sites globally across the U.S., U.K., Europe and Asia-Pacific, in the registrational, tumor-agnostic PYNNACLE Phase 2 trial of rezatapopt in patients with advanced solid tumors harboring a TP53 Y220C mutation and KRAS wild-type. We also expect to provide interim data on the Phase 2 monotherapy registrational portion of the PYNNACLE trial by mid-2025, with interim analysis data for approximately 50 patients, of which approximately 40% are in the ovarian cancer cohort, who have been followed for at least 18 weeks. In October 2024, we discontinued enrollment in the Phase 1b combination arm of the PYNNACLE trial evaluating rezatapopt in combination with Merck and Co.’s anti-PD-1 therapy KEYTRUDA® (pembrolizumab) in patients with advanced solid tumors harboring a TP53 Y220C mutation. Additionally, we announced that we are collaborating with the MDACC and MSK to support an investigator-initiated Phase 1b study, which is designed to assess the safety, tolerability, pharmacokinetics, and preliminary efficacy of rezatapopt monotherapy in combination with azacitidine in R/R AML and MDS patients harboring a TP53 Y220C mutation. MDACC dosed its first patient for this Phase 1b study in the first quarter of 2025.</w:t>
      </w:r>
    </w:p>
    <w:p>
      <w:pPr>
        <w:spacing w:after="0" w:line="85"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We expect our research and development expenses to increase substantially in absolute dollars in the future as we advance our product candidates into and through clinical trials and pursue regulatory approval of our product candidates. The process of conducting the necessary clinical research to obtain regulatory approval is costly and time-consuming. The actual probability of success for our product candidates may be affected by a variety of factors including: the safety and efficacy of our product candidates, clinical data, investment in our clinical program, the ability of any future collaborators to successfully develop our licensed product candidates, competition, manufacturing capability, and commercial viability. We may never</w:t>
      </w:r>
    </w:p>
    <w:p>
      <w:pPr>
        <w:spacing w:after="0" w:line="1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4" w:right="359" w:bottom="1440" w:gutter="0" w:footer="0" w:header="0"/>
        </w:sectPr>
      </w:pPr>
    </w:p>
    <w:bookmarkStart w:id="21" w:name="page22"/>
    <w:bookmarkEnd w:id="21"/>
    <w:p>
      <w:pPr>
        <w:ind w:right="40"/>
        <w:spacing w:after="0" w:line="282" w:lineRule="auto"/>
        <w:rPr>
          <w:sz w:val="20"/>
          <w:szCs w:val="20"/>
          <w:color w:val="auto"/>
        </w:rPr>
      </w:pPr>
      <w:r>
        <w:rPr>
          <w:rFonts w:ascii="Times New Roman" w:cs="Times New Roman" w:eastAsia="Times New Roman" w:hAnsi="Times New Roman"/>
          <w:sz w:val="18"/>
          <w:szCs w:val="18"/>
          <w:color w:val="auto"/>
        </w:rPr>
        <w:t>succeed in achieving regulatory approval for any of our product candidates. As a result of the uncertainties discussed above, we are unable to determine the duration and completion costs of our research and development projects.</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General and administrative expenses include personnel costs, expenses for outside professional services and other allocated expenses. Personnel costs consist of salaries, bonuses, benefits, and stock-based compensation. Outside professional services consist of legal, accounting and audit services and other consulting fees. Allocated expenses consist of rent expense related to our office and research and development facilities. We have incurred expenses related to compliance with the rules and regulations of the SEC, and those of any national securities exchange on which our securities are traded, additional insurance expenses, investor relations activities and other administrative and professional services. We also expect to increase our general and administrative expenses as we advance our product candidates through preclinical research and development, manufacturing, clinical development, and commercialization.</w:t>
      </w:r>
    </w:p>
    <w:p>
      <w:pPr>
        <w:spacing w:after="0" w:line="2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Net</w:t>
      </w:r>
    </w:p>
    <w:p>
      <w:pPr>
        <w:spacing w:after="0" w:line="121"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Interest income, net primarily consists of interest income from our interest-bearing cash, cash equivalents, and marketable securities and interest costs related to accretion and amortization of discounts and premiums on marketable securities.</w:t>
      </w:r>
    </w:p>
    <w:p>
      <w:pPr>
        <w:spacing w:after="0" w:line="266"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March 31, 2025 and 2024</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(in thousands):</w:t>
      </w:r>
    </w:p>
    <w:p>
      <w:pPr>
        <w:spacing w:after="0" w:line="219" w:lineRule="exact"/>
        <w:rPr>
          <w:sz w:val="20"/>
          <w:szCs w:val="20"/>
          <w:color w:val="auto"/>
        </w:rPr>
      </w:pPr>
    </w:p>
    <w:p>
      <w:pPr>
        <w:jc w:val="center"/>
        <w:ind w:left="32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328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17"/>
        </w:trPr>
        <w:tc>
          <w:tcPr>
            <w:tcW w:w="54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580" w:type="dxa"/>
            <w:vAlign w:val="bottom"/>
            <w:tcBorders>
              <w:top w:val="single" w:sz="8" w:color="auto"/>
            </w:tcBorders>
          </w:tcPr>
          <w:p>
            <w:pPr>
              <w:jc w:val="right"/>
              <w:ind w:right="613"/>
              <w:spacing w:after="0" w:line="117" w:lineRule="exact"/>
              <w:rPr>
                <w:sz w:val="20"/>
                <w:szCs w:val="20"/>
                <w:color w:val="auto"/>
              </w:rPr>
            </w:pPr>
            <w:r>
              <w:rPr>
                <w:rFonts w:ascii="Times New Roman" w:cs="Times New Roman" w:eastAsia="Times New Roman" w:hAnsi="Times New Roman"/>
                <w:sz w:val="13"/>
                <w:szCs w:val="13"/>
                <w:b w:val="1"/>
                <w:bCs w:val="1"/>
                <w:color w:val="auto"/>
              </w:rPr>
              <w:t>2025</w:t>
            </w:r>
          </w:p>
        </w:tc>
        <w:tc>
          <w:tcPr>
            <w:tcW w:w="36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400" w:type="dxa"/>
            <w:vAlign w:val="bottom"/>
            <w:tcBorders>
              <w:top w:val="single" w:sz="8" w:color="auto"/>
            </w:tcBorders>
          </w:tcPr>
          <w:p>
            <w:pPr>
              <w:jc w:val="right"/>
              <w:ind w:right="613"/>
              <w:spacing w:after="0" w:line="117" w:lineRule="exact"/>
              <w:rPr>
                <w:sz w:val="20"/>
                <w:szCs w:val="20"/>
                <w:color w:val="auto"/>
              </w:rPr>
            </w:pPr>
            <w:r>
              <w:rPr>
                <w:rFonts w:ascii="Times New Roman" w:cs="Times New Roman" w:eastAsia="Times New Roman" w:hAnsi="Times New Roman"/>
                <w:sz w:val="13"/>
                <w:szCs w:val="13"/>
                <w:b w:val="1"/>
                <w:bCs w:val="1"/>
                <w:color w:val="auto"/>
              </w:rPr>
              <w:t>2024</w:t>
            </w:r>
          </w:p>
        </w:tc>
        <w:tc>
          <w:tcPr>
            <w:tcW w:w="3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73"/>
        </w:trPr>
        <w:tc>
          <w:tcPr>
            <w:tcW w:w="54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Statement of operations data:</w:t>
            </w:r>
          </w:p>
        </w:tc>
        <w:tc>
          <w:tcPr>
            <w:tcW w:w="120" w:type="dxa"/>
            <w:vAlign w:val="bottom"/>
          </w:tcPr>
          <w:p>
            <w:pPr>
              <w:spacing w:after="0"/>
              <w:rPr>
                <w:sz w:val="15"/>
                <w:szCs w:val="15"/>
                <w:color w:val="auto"/>
              </w:rPr>
            </w:pPr>
          </w:p>
        </w:tc>
        <w:tc>
          <w:tcPr>
            <w:tcW w:w="194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80" w:type="dxa"/>
            <w:vAlign w:val="bottom"/>
          </w:tcPr>
          <w:p>
            <w:pPr>
              <w:spacing w:after="0"/>
              <w:rPr>
                <w:sz w:val="15"/>
                <w:szCs w:val="15"/>
                <w:color w:val="auto"/>
              </w:rPr>
            </w:pPr>
          </w:p>
        </w:tc>
        <w:tc>
          <w:tcPr>
            <w:tcW w:w="1720" w:type="dxa"/>
            <w:vAlign w:val="bottom"/>
            <w:gridSpan w:val="2"/>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340" w:type="dxa"/>
            <w:vAlign w:val="bottom"/>
          </w:tcPr>
          <w:p>
            <w:pPr>
              <w:spacing w:after="0"/>
              <w:rPr>
                <w:sz w:val="15"/>
                <w:szCs w:val="15"/>
                <w:color w:val="auto"/>
              </w:rPr>
            </w:pPr>
          </w:p>
        </w:tc>
        <w:tc>
          <w:tcPr>
            <w:tcW w:w="144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09"/>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20" w:type="dxa"/>
            <w:vAlign w:val="bottom"/>
            <w:tcBorders>
              <w:top w:val="single" w:sz="8" w:color="auto"/>
            </w:tcBorders>
            <w:shd w:val="clear" w:color="auto" w:fill="CFF0FC"/>
          </w:tcPr>
          <w:p>
            <w:pPr>
              <w:spacing w:after="0"/>
              <w:rPr>
                <w:sz w:val="18"/>
                <w:szCs w:val="18"/>
                <w:color w:val="auto"/>
              </w:rPr>
            </w:pPr>
          </w:p>
        </w:tc>
        <w:tc>
          <w:tcPr>
            <w:tcW w:w="1580" w:type="dxa"/>
            <w:vAlign w:val="bottom"/>
            <w:tcBorders>
              <w:top w:val="single" w:sz="8" w:color="auto"/>
            </w:tcBorders>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400" w:type="dxa"/>
            <w:vAlign w:val="bottom"/>
            <w:tcBorders>
              <w:top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17,441</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13,186</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4,255</w:t>
            </w:r>
          </w:p>
        </w:tc>
      </w:tr>
      <w:tr>
        <w:trPr>
          <w:trHeight w:val="216"/>
        </w:trPr>
        <w:tc>
          <w:tcPr>
            <w:tcW w:w="54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shd w:val="clear" w:color="auto" w:fill="CFF0FC"/>
          </w:tcPr>
          <w:p>
            <w:pPr>
              <w:spacing w:after="0"/>
              <w:rPr>
                <w:sz w:val="18"/>
                <w:szCs w:val="18"/>
                <w:color w:val="auto"/>
              </w:rPr>
            </w:pPr>
          </w:p>
        </w:tc>
        <w:tc>
          <w:tcPr>
            <w:tcW w:w="194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4,123</w:t>
            </w:r>
          </w:p>
        </w:tc>
        <w:tc>
          <w:tcPr>
            <w:tcW w:w="28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5,035</w:t>
            </w:r>
          </w:p>
        </w:tc>
        <w:tc>
          <w:tcPr>
            <w:tcW w:w="34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(912)</w:t>
            </w:r>
          </w:p>
        </w:tc>
      </w:tr>
      <w:tr>
        <w:trPr>
          <w:trHeight w:val="210"/>
        </w:trPr>
        <w:tc>
          <w:tcPr>
            <w:tcW w:w="540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360" w:type="dxa"/>
            <w:vAlign w:val="bottom"/>
            <w:tcBorders>
              <w:top w:val="single" w:sz="8" w:color="CFF0FC"/>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320" w:type="dxa"/>
            <w:vAlign w:val="bottom"/>
            <w:tcBorders>
              <w:top w:val="single" w:sz="8" w:color="CFF0FC"/>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5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0" w:type="dxa"/>
            <w:vAlign w:val="bottom"/>
            <w:shd w:val="clear" w:color="auto" w:fill="CFF0FC"/>
          </w:tcPr>
          <w:p>
            <w:pPr>
              <w:spacing w:after="0"/>
              <w:rPr>
                <w:sz w:val="18"/>
                <w:szCs w:val="18"/>
                <w:color w:val="auto"/>
              </w:rPr>
            </w:pPr>
          </w:p>
        </w:tc>
        <w:tc>
          <w:tcPr>
            <w:tcW w:w="194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21,564</w:t>
            </w:r>
          </w:p>
        </w:tc>
        <w:tc>
          <w:tcPr>
            <w:tcW w:w="28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18,221</w:t>
            </w:r>
          </w:p>
        </w:tc>
        <w:tc>
          <w:tcPr>
            <w:tcW w:w="34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3,343</w:t>
            </w:r>
          </w:p>
        </w:tc>
      </w:tr>
      <w:tr>
        <w:trPr>
          <w:trHeight w:val="216"/>
        </w:trPr>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Loss from operations</w:t>
            </w:r>
          </w:p>
        </w:tc>
        <w:tc>
          <w:tcPr>
            <w:tcW w:w="120" w:type="dxa"/>
            <w:vAlign w:val="bottom"/>
            <w:shd w:val="clear" w:color="auto" w:fill="CFF0FC"/>
          </w:tcPr>
          <w:p>
            <w:pPr>
              <w:spacing w:after="0"/>
              <w:rPr>
                <w:sz w:val="18"/>
                <w:szCs w:val="18"/>
                <w:color w:val="auto"/>
              </w:rPr>
            </w:pPr>
          </w:p>
        </w:tc>
        <w:tc>
          <w:tcPr>
            <w:tcW w:w="19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(21,564)</w:t>
            </w:r>
          </w:p>
        </w:tc>
        <w:tc>
          <w:tcPr>
            <w:tcW w:w="28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(18,221)</w:t>
            </w:r>
          </w:p>
        </w:tc>
        <w:tc>
          <w:tcPr>
            <w:tcW w:w="34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(3,343)</w:t>
            </w:r>
          </w:p>
        </w:tc>
      </w:tr>
      <w:tr>
        <w:trPr>
          <w:trHeight w:val="210"/>
        </w:trPr>
        <w:tc>
          <w:tcPr>
            <w:tcW w:w="54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2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360" w:type="dxa"/>
            <w:vAlign w:val="bottom"/>
            <w:tcBorders>
              <w:top w:val="single" w:sz="8" w:color="CFF0FC"/>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320" w:type="dxa"/>
            <w:vAlign w:val="bottom"/>
            <w:tcBorders>
              <w:top w:val="single" w:sz="8" w:color="CFF0FC"/>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54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Interest income, net</w:t>
            </w:r>
          </w:p>
        </w:tc>
        <w:tc>
          <w:tcPr>
            <w:tcW w:w="120" w:type="dxa"/>
            <w:vAlign w:val="bottom"/>
            <w:shd w:val="clear" w:color="auto" w:fill="CFF0FC"/>
          </w:tcPr>
          <w:p>
            <w:pPr>
              <w:spacing w:after="0"/>
              <w:rPr>
                <w:sz w:val="18"/>
                <w:szCs w:val="18"/>
                <w:color w:val="auto"/>
              </w:rPr>
            </w:pPr>
          </w:p>
        </w:tc>
        <w:tc>
          <w:tcPr>
            <w:tcW w:w="194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1,935</w:t>
            </w:r>
          </w:p>
        </w:tc>
        <w:tc>
          <w:tcPr>
            <w:tcW w:w="28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2,952</w:t>
            </w:r>
          </w:p>
        </w:tc>
        <w:tc>
          <w:tcPr>
            <w:tcW w:w="34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(1,017)</w:t>
            </w:r>
          </w:p>
        </w:tc>
      </w:tr>
      <w:tr>
        <w:trPr>
          <w:trHeight w:val="216"/>
        </w:trPr>
        <w:tc>
          <w:tcPr>
            <w:tcW w:w="5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20" w:type="dxa"/>
            <w:vAlign w:val="bottom"/>
          </w:tcPr>
          <w:p>
            <w:pPr>
              <w:spacing w:after="0"/>
              <w:rPr>
                <w:sz w:val="18"/>
                <w:szCs w:val="18"/>
                <w:color w:val="auto"/>
              </w:rPr>
            </w:pPr>
          </w:p>
        </w:tc>
        <w:tc>
          <w:tcPr>
            <w:tcW w:w="1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tcPr>
          <w:p>
            <w:pPr>
              <w:spacing w:after="0"/>
              <w:rPr>
                <w:sz w:val="18"/>
                <w:szCs w:val="18"/>
                <w:color w:val="auto"/>
              </w:rPr>
            </w:pPr>
          </w:p>
        </w:tc>
        <w:tc>
          <w:tcPr>
            <w:tcW w:w="17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w:t>
            </w:r>
          </w:p>
        </w:tc>
        <w:tc>
          <w:tcPr>
            <w:tcW w:w="3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r>
      <w:tr>
        <w:trPr>
          <w:trHeight w:val="210"/>
        </w:trPr>
        <w:tc>
          <w:tcPr>
            <w:tcW w:w="54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580" w:type="dxa"/>
            <w:vAlign w:val="bottom"/>
            <w:tcBorders>
              <w:top w:val="single" w:sz="8" w:color="auto"/>
            </w:tcBorders>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400" w:type="dxa"/>
            <w:vAlign w:val="bottom"/>
            <w:tcBorders>
              <w:top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120" w:type="dxa"/>
            <w:vAlign w:val="bottom"/>
          </w:tcPr>
          <w:p>
            <w:pPr>
              <w:spacing w:after="0"/>
              <w:rPr>
                <w:sz w:val="18"/>
                <w:szCs w:val="18"/>
                <w:color w:val="auto"/>
              </w:rPr>
            </w:pPr>
          </w:p>
        </w:tc>
        <w:tc>
          <w:tcPr>
            <w:tcW w:w="19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1,931</w:t>
            </w:r>
          </w:p>
        </w:tc>
        <w:tc>
          <w:tcPr>
            <w:tcW w:w="280" w:type="dxa"/>
            <w:vAlign w:val="bottom"/>
          </w:tcPr>
          <w:p>
            <w:pPr>
              <w:spacing w:after="0"/>
              <w:rPr>
                <w:sz w:val="18"/>
                <w:szCs w:val="18"/>
                <w:color w:val="auto"/>
              </w:rPr>
            </w:pPr>
          </w:p>
        </w:tc>
        <w:tc>
          <w:tcPr>
            <w:tcW w:w="1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2,951</w:t>
            </w:r>
          </w:p>
        </w:tc>
        <w:tc>
          <w:tcPr>
            <w:tcW w:w="3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(1,020)</w:t>
            </w:r>
          </w:p>
        </w:tc>
      </w:tr>
      <w:tr>
        <w:trPr>
          <w:trHeight w:val="209"/>
        </w:trPr>
        <w:tc>
          <w:tcPr>
            <w:tcW w:w="54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580" w:type="dxa"/>
            <w:vAlign w:val="bottom"/>
            <w:tcBorders>
              <w:top w:val="single" w:sz="8" w:color="auto"/>
            </w:tcBorders>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400" w:type="dxa"/>
            <w:vAlign w:val="bottom"/>
            <w:tcBorders>
              <w:top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Loss before (benefit) provision for income taxes</w:t>
            </w:r>
          </w:p>
        </w:tc>
        <w:tc>
          <w:tcPr>
            <w:tcW w:w="120" w:type="dxa"/>
            <w:vAlign w:val="bottom"/>
          </w:tcPr>
          <w:p>
            <w:pPr>
              <w:spacing w:after="0"/>
              <w:rPr>
                <w:sz w:val="18"/>
                <w:szCs w:val="18"/>
                <w:color w:val="auto"/>
              </w:rPr>
            </w:pPr>
          </w:p>
        </w:tc>
        <w:tc>
          <w:tcPr>
            <w:tcW w:w="1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(19,633)</w:t>
            </w:r>
          </w:p>
        </w:tc>
        <w:tc>
          <w:tcPr>
            <w:tcW w:w="280" w:type="dxa"/>
            <w:vAlign w:val="bottom"/>
          </w:tcPr>
          <w:p>
            <w:pPr>
              <w:spacing w:after="0"/>
              <w:rPr>
                <w:sz w:val="18"/>
                <w:szCs w:val="18"/>
                <w:color w:val="auto"/>
              </w:rPr>
            </w:pPr>
          </w:p>
        </w:tc>
        <w:tc>
          <w:tcPr>
            <w:tcW w:w="17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(15,270)</w:t>
            </w:r>
          </w:p>
        </w:tc>
        <w:tc>
          <w:tcPr>
            <w:tcW w:w="3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(4,363)</w:t>
            </w:r>
          </w:p>
        </w:tc>
      </w:tr>
      <w:tr>
        <w:trPr>
          <w:trHeight w:val="216"/>
        </w:trPr>
        <w:tc>
          <w:tcPr>
            <w:tcW w:w="5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(Benefit) provision for income taxes</w:t>
            </w:r>
          </w:p>
        </w:tc>
        <w:tc>
          <w:tcPr>
            <w:tcW w:w="120" w:type="dxa"/>
            <w:vAlign w:val="bottom"/>
            <w:shd w:val="clear" w:color="auto" w:fill="CFF0FC"/>
          </w:tcPr>
          <w:p>
            <w:pPr>
              <w:spacing w:after="0"/>
              <w:rPr>
                <w:sz w:val="18"/>
                <w:szCs w:val="18"/>
                <w:color w:val="auto"/>
              </w:rPr>
            </w:pPr>
          </w:p>
        </w:tc>
        <w:tc>
          <w:tcPr>
            <w:tcW w:w="19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(2,197)</w:t>
            </w:r>
          </w:p>
        </w:tc>
        <w:tc>
          <w:tcPr>
            <w:tcW w:w="28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(2,197)</w:t>
            </w:r>
          </w:p>
        </w:tc>
      </w:tr>
      <w:tr>
        <w:trPr>
          <w:trHeight w:val="210"/>
        </w:trPr>
        <w:tc>
          <w:tcPr>
            <w:tcW w:w="540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360" w:type="dxa"/>
            <w:vAlign w:val="bottom"/>
            <w:tcBorders>
              <w:top w:val="single" w:sz="8" w:color="CFF0FC"/>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320" w:type="dxa"/>
            <w:vAlign w:val="bottom"/>
            <w:tcBorders>
              <w:top w:val="single" w:sz="8" w:color="CFF0FC"/>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56"/>
        </w:trPr>
        <w:tc>
          <w:tcPr>
            <w:tcW w:w="54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(17,436)</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(15,270)</w:t>
            </w:r>
          </w:p>
        </w:tc>
        <w:tc>
          <w:tcPr>
            <w:tcW w:w="340" w:type="dxa"/>
            <w:vAlign w:val="bottom"/>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(2,166)</w:t>
            </w:r>
          </w:p>
        </w:tc>
      </w:tr>
      <w:tr>
        <w:trPr>
          <w:trHeight w:val="602"/>
        </w:trPr>
        <w:tc>
          <w:tcPr>
            <w:tcW w:w="540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580" w:type="dxa"/>
            <w:vAlign w:val="bottom"/>
            <w:tcBorders>
              <w:top w:val="single" w:sz="8" w:color="auto"/>
            </w:tcBorders>
          </w:tcPr>
          <w:p>
            <w:pPr>
              <w:jc w:val="right"/>
              <w:ind w:right="1293"/>
              <w:spacing w:after="0"/>
              <w:rPr>
                <w:sz w:val="20"/>
                <w:szCs w:val="20"/>
                <w:color w:val="auto"/>
              </w:rPr>
            </w:pPr>
            <w:r>
              <w:rPr>
                <w:rFonts w:ascii="Times New Roman" w:cs="Times New Roman" w:eastAsia="Times New Roman" w:hAnsi="Times New Roman"/>
                <w:sz w:val="18"/>
                <w:szCs w:val="18"/>
                <w:color w:val="auto"/>
                <w:w w:val="99"/>
              </w:rPr>
              <w:t>18</w:t>
            </w:r>
          </w:p>
        </w:tc>
        <w:tc>
          <w:tcPr>
            <w:tcW w:w="360" w:type="dxa"/>
            <w:vAlign w:val="bottom"/>
            <w:tcBorders>
              <w:top w:val="single" w:sz="8" w:color="CFF0FC"/>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320" w:type="dxa"/>
            <w:vAlign w:val="bottom"/>
            <w:tcBorders>
              <w:top w:val="single" w:sz="8" w:color="CFF0FC"/>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63"/>
        </w:trPr>
        <w:tc>
          <w:tcPr>
            <w:tcW w:w="54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-2879725</wp:posOffset>
            </wp:positionV>
            <wp:extent cx="7747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-2879725</wp:posOffset>
            </wp:positionV>
            <wp:extent cx="6858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-2879725</wp:posOffset>
            </wp:positionV>
            <wp:extent cx="6858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-2322195</wp:posOffset>
            </wp:positionV>
            <wp:extent cx="7747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-2322195</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-2322195</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-1199515</wp:posOffset>
            </wp:positionV>
            <wp:extent cx="7747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-1199515</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-1199515</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-916305</wp:posOffset>
            </wp:positionV>
            <wp:extent cx="7747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-899160</wp:posOffset>
            </wp:positionV>
            <wp:extent cx="7747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-916305</wp:posOffset>
            </wp:positionV>
            <wp:extent cx="6858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-899160</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-916305</wp:posOffset>
            </wp:positionV>
            <wp:extent cx="6858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-899160</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22" w:name="page23"/>
    <w:bookmarkEnd w:id="22"/>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research and development expenses incurred during the periods indicated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20" w:type="dxa"/>
            <w:vAlign w:val="bottom"/>
            <w:gridSpan w:val="4"/>
          </w:tcPr>
          <w:p>
            <w:pPr>
              <w:jc w:val="right"/>
              <w:ind w:right="111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4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Statement of operations data:</w:t>
            </w:r>
          </w:p>
        </w:tc>
        <w:tc>
          <w:tcPr>
            <w:tcW w:w="28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38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44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1420" w:type="dxa"/>
            <w:vAlign w:val="bottom"/>
          </w:tcPr>
          <w:p>
            <w:pPr>
              <w:jc w:val="right"/>
              <w:ind w:right="639"/>
              <w:spacing w:after="0" w:line="118" w:lineRule="exact"/>
              <w:rPr>
                <w:sz w:val="20"/>
                <w:szCs w:val="20"/>
                <w:color w:val="auto"/>
              </w:rPr>
            </w:pPr>
            <w:r>
              <w:rPr>
                <w:rFonts w:ascii="Times New Roman" w:cs="Times New Roman" w:eastAsia="Times New Roman" w:hAnsi="Times New Roman"/>
                <w:sz w:val="13"/>
                <w:szCs w:val="13"/>
                <w:b w:val="1"/>
                <w:bCs w:val="1"/>
                <w:color w:val="auto"/>
              </w:rPr>
              <w:t>2025</w:t>
            </w:r>
          </w:p>
        </w:tc>
        <w:tc>
          <w:tcPr>
            <w:tcW w:w="3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380" w:type="dxa"/>
            <w:vAlign w:val="bottom"/>
          </w:tcPr>
          <w:p>
            <w:pPr>
              <w:jc w:val="right"/>
              <w:ind w:right="636"/>
              <w:spacing w:after="0" w:line="118" w:lineRule="exact"/>
              <w:rPr>
                <w:sz w:val="20"/>
                <w:szCs w:val="20"/>
                <w:color w:val="auto"/>
              </w:rPr>
            </w:pPr>
            <w:r>
              <w:rPr>
                <w:rFonts w:ascii="Times New Roman" w:cs="Times New Roman" w:eastAsia="Times New Roman" w:hAnsi="Times New Roman"/>
                <w:sz w:val="13"/>
                <w:szCs w:val="13"/>
                <w:b w:val="1"/>
                <w:bCs w:val="1"/>
                <w:color w:val="auto"/>
              </w:rPr>
              <w:t>2024</w:t>
            </w:r>
          </w:p>
        </w:tc>
        <w:tc>
          <w:tcPr>
            <w:tcW w:w="3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340" w:type="dxa"/>
            <w:vAlign w:val="bottom"/>
            <w:vMerge w:val="restart"/>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4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3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3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w:t>
            </w: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1,283</w:t>
            </w:r>
          </w:p>
        </w:tc>
        <w:tc>
          <w:tcPr>
            <w:tcW w:w="62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1,078</w:t>
            </w:r>
          </w:p>
        </w:tc>
        <w:tc>
          <w:tcPr>
            <w:tcW w:w="66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Development</w:t>
            </w:r>
          </w:p>
        </w:tc>
        <w:tc>
          <w:tcPr>
            <w:tcW w:w="2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11,951</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6,788</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Personnel related</w:t>
            </w:r>
          </w:p>
        </w:tc>
        <w:tc>
          <w:tcPr>
            <w:tcW w:w="28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3,570</w:t>
            </w:r>
          </w:p>
        </w:tc>
        <w:tc>
          <w:tcPr>
            <w:tcW w:w="3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4,345</w:t>
            </w:r>
          </w:p>
        </w:tc>
        <w:tc>
          <w:tcPr>
            <w:tcW w:w="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(775)</w:t>
            </w: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2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(338)</w:t>
            </w:r>
          </w:p>
        </w:tc>
        <w:tc>
          <w:tcPr>
            <w:tcW w:w="0" w:type="dxa"/>
            <w:vAlign w:val="bottom"/>
          </w:tcPr>
          <w:p>
            <w:pPr>
              <w:spacing w:after="0"/>
              <w:rPr>
                <w:sz w:val="1"/>
                <w:szCs w:val="1"/>
                <w:color w:val="auto"/>
              </w:rPr>
            </w:pPr>
          </w:p>
        </w:tc>
      </w:tr>
      <w:tr>
        <w:trPr>
          <w:trHeight w:val="250"/>
        </w:trPr>
        <w:tc>
          <w:tcPr>
            <w:tcW w:w="544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top w:val="single" w:sz="8" w:color="auto"/>
              <w:bottom w:val="single" w:sz="8" w:color="auto"/>
            </w:tcBorders>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17,441</w:t>
            </w:r>
          </w:p>
        </w:tc>
        <w:tc>
          <w:tcPr>
            <w:tcW w:w="3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13,186</w:t>
            </w:r>
          </w:p>
        </w:tc>
        <w:tc>
          <w:tcPr>
            <w:tcW w:w="3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4,255</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4531360</wp:posOffset>
            </wp:positionH>
            <wp:positionV relativeFrom="paragraph">
              <wp:posOffset>-24765</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-7620</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-24765</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-7620</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1"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were $17.4 million for the three months ended March 31, 2025, compared to $13.2 million for the three months ended March 31, 2024. The increase of $4.2 million, compared to the three months ended March 31, 2024, was primarily due to the following:</w:t>
      </w:r>
    </w:p>
    <w:p>
      <w:pPr>
        <w:spacing w:after="0" w:line="54" w:lineRule="exact"/>
        <w:rPr>
          <w:sz w:val="20"/>
          <w:szCs w:val="20"/>
          <w:color w:val="auto"/>
        </w:rPr>
      </w:pPr>
    </w:p>
    <w:p>
      <w:pPr>
        <w:ind w:left="900" w:right="680" w:hanging="383"/>
        <w:spacing w:after="0" w:line="282" w:lineRule="auto"/>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$5.2 million increase in research and development expenses largely driven by increased contractual research organization costs for the advancement of the rezatapopt program; offset by</w:t>
      </w:r>
    </w:p>
    <w:p>
      <w:pPr>
        <w:spacing w:after="0" w:line="53" w:lineRule="exact"/>
        <w:rPr>
          <w:rFonts w:ascii="Times New Roman" w:cs="Times New Roman" w:eastAsia="Times New Roman" w:hAnsi="Times New Roman"/>
          <w:sz w:val="18"/>
          <w:szCs w:val="18"/>
          <w:color w:val="auto"/>
        </w:rPr>
      </w:pPr>
    </w:p>
    <w:p>
      <w:pPr>
        <w:ind w:left="900" w:right="260" w:hanging="383"/>
        <w:spacing w:after="0" w:line="266" w:lineRule="auto"/>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million decrease in personnel related costs and stock-based compensation as a result of the non-recurring charges from our reduction in force in 2024. Refer to Note 12 of the notes to our condensed consolidated financial statements in this Quarterly Report on Form 10-Q for details on the restructuring.</w:t>
      </w:r>
    </w:p>
    <w:p>
      <w:pPr>
        <w:spacing w:after="0" w:line="32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ind w:right="80" w:firstLine="509"/>
        <w:spacing w:after="0" w:line="289" w:lineRule="auto"/>
        <w:rPr>
          <w:sz w:val="20"/>
          <w:szCs w:val="20"/>
          <w:color w:val="auto"/>
        </w:rPr>
      </w:pPr>
      <w:r>
        <w:rPr>
          <w:rFonts w:ascii="Times New Roman" w:cs="Times New Roman" w:eastAsia="Times New Roman" w:hAnsi="Times New Roman"/>
          <w:sz w:val="17"/>
          <w:szCs w:val="17"/>
          <w:color w:val="auto"/>
        </w:rPr>
        <w:t>General and administrative expenses were $4.1 million for the three months ended March 31, 2025, compared to $5.0 million for the three months ended March 31, 2024. The decrease of $0.9 million, compared to the three months ended March 31, 2024, was primarily due to a $0.8 million decrease in personnel expenses driven by a decrease in headcount, and a $0.1 million decrease in facility and equipment expenses primarily due to reduced lease costs.</w:t>
      </w:r>
    </w:p>
    <w:p>
      <w:pPr>
        <w:spacing w:after="0" w:line="2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Net</w:t>
      </w:r>
    </w:p>
    <w:p>
      <w:pPr>
        <w:spacing w:after="0" w:line="121"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Interest income, net primarily consists of interest income from our interest-bearing cash, cash equivalents, and marketable securities and interest costs related to accretion and amortization of discounts and premiums on marketable securities. Interest income, net was $1.9 million for the three months ended March 31, 2025, compared to $3.0 million for the three months March 31, 2024. The decrease of $1.1 million compared to the three months ended March 31, 2024, was driven by decreased interest rates from cash and investments in marketable securities and U.S treasuries during the three months ended March 31, 2025.</w:t>
      </w:r>
    </w:p>
    <w:p>
      <w:pPr>
        <w:spacing w:after="0" w:line="2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w:t>
      </w:r>
    </w:p>
    <w:p>
      <w:pPr>
        <w:spacing w:after="0" w:line="121"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The State of New Jersey’s Technology Business Tax Certificate Program allows certain high technology and biotechnology companies to sell NOL carryforwards and R&amp;D tax credits to other New Jersey-based corporate taxpayers. As of March 31, 2025, we received $18.4 million of cash for the NOL and R&amp;D tax credit sales related to the tax years ended December 31, 2015 to 2023. The sale of the NOLs and R&amp;D tax credits have been recorded as an income tax benefit within the condensed consolidated statement of operations. As of March 31, 2025, we had reached the sale limit established by the program. For the three months ended March 31, 2025, we received a benefit for income taxes of $2.2 million. We did not receive any benefit for income taxes for the three months ended March 31, 2024.</w:t>
      </w:r>
    </w:p>
    <w:p>
      <w:pPr>
        <w:spacing w:after="0" w:line="291"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8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6" w:right="339" w:bottom="1440" w:gutter="0" w:footer="0" w:header="0"/>
        </w:sectPr>
      </w:pPr>
    </w:p>
    <w:bookmarkStart w:id="23" w:name="page24"/>
    <w:bookmarkEnd w:id="23"/>
    <w:p>
      <w:pPr>
        <w:ind w:left="520"/>
        <w:spacing w:after="0"/>
        <w:rPr>
          <w:sz w:val="20"/>
          <w:szCs w:val="20"/>
          <w:color w:val="auto"/>
        </w:rPr>
      </w:pPr>
      <w:r>
        <w:rPr>
          <w:rFonts w:ascii="Times New Roman" w:cs="Times New Roman" w:eastAsia="Times New Roman" w:hAnsi="Times New Roman"/>
          <w:sz w:val="18"/>
          <w:szCs w:val="18"/>
          <w:color w:val="auto"/>
        </w:rPr>
        <w:t>Our financial condition is summarized as follows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2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As of March 31,</w:t>
            </w:r>
          </w:p>
        </w:tc>
        <w:tc>
          <w:tcPr>
            <w:tcW w:w="160" w:type="dxa"/>
            <w:vAlign w:val="bottom"/>
          </w:tcPr>
          <w:p>
            <w:pPr>
              <w:spacing w:after="0"/>
              <w:rPr>
                <w:sz w:val="15"/>
                <w:szCs w:val="15"/>
                <w:color w:val="auto"/>
              </w:rPr>
            </w:pPr>
          </w:p>
        </w:tc>
        <w:tc>
          <w:tcPr>
            <w:tcW w:w="18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3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6"/>
        </w:trPr>
        <w:tc>
          <w:tcPr>
            <w:tcW w:w="54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4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10"/>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Financial assets:</w:t>
            </w:r>
          </w:p>
        </w:tc>
        <w:tc>
          <w:tcPr>
            <w:tcW w:w="240" w:type="dxa"/>
            <w:vAlign w:val="bottom"/>
            <w:tcBorders>
              <w:top w:val="single" w:sz="8" w:color="auto"/>
            </w:tcBorders>
            <w:shd w:val="clear" w:color="auto" w:fill="CFF0FC"/>
          </w:tcPr>
          <w:p>
            <w:pPr>
              <w:spacing w:after="0"/>
              <w:rPr>
                <w:sz w:val="18"/>
                <w:szCs w:val="18"/>
                <w:color w:val="auto"/>
              </w:rPr>
            </w:pPr>
          </w:p>
        </w:tc>
        <w:tc>
          <w:tcPr>
            <w:tcW w:w="1460" w:type="dxa"/>
            <w:vAlign w:val="bottom"/>
            <w:tcBorders>
              <w:top w:val="single" w:sz="8" w:color="auto"/>
            </w:tcBorders>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520" w:type="dxa"/>
            <w:vAlign w:val="bottom"/>
            <w:tcBorders>
              <w:top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51,341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40,876</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10,465</w:t>
            </w:r>
          </w:p>
        </w:tc>
      </w:tr>
      <w:tr>
        <w:trPr>
          <w:trHeight w:val="216"/>
        </w:trPr>
        <w:tc>
          <w:tcPr>
            <w:tcW w:w="54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Marketable securities – current</w:t>
            </w:r>
          </w:p>
        </w:tc>
        <w:tc>
          <w:tcPr>
            <w:tcW w:w="24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109,047</w:t>
            </w:r>
          </w:p>
        </w:tc>
        <w:tc>
          <w:tcPr>
            <w:tcW w:w="3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128,578</w:t>
            </w:r>
          </w:p>
        </w:tc>
        <w:tc>
          <w:tcPr>
            <w:tcW w:w="34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(19,531)</w:t>
            </w:r>
          </w:p>
        </w:tc>
      </w:tr>
      <w:tr>
        <w:trPr>
          <w:trHeight w:val="216"/>
        </w:trPr>
        <w:tc>
          <w:tcPr>
            <w:tcW w:w="5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Marketable securities – noncurrent</w:t>
            </w:r>
          </w:p>
        </w:tc>
        <w:tc>
          <w:tcPr>
            <w:tcW w:w="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5,435</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13,843</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(8,408)</w:t>
            </w:r>
          </w:p>
        </w:tc>
      </w:tr>
      <w:tr>
        <w:trPr>
          <w:trHeight w:val="20"/>
        </w:trPr>
        <w:tc>
          <w:tcPr>
            <w:tcW w:w="54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54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financial assets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165,823</w:t>
            </w:r>
          </w:p>
        </w:tc>
        <w:tc>
          <w:tcPr>
            <w:tcW w:w="36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183,297</w:t>
            </w:r>
          </w:p>
        </w:tc>
        <w:tc>
          <w:tcPr>
            <w:tcW w:w="320" w:type="dxa"/>
            <w:vAlign w:val="bottom"/>
            <w:shd w:val="clear" w:color="auto" w:fill="CFF0FC"/>
          </w:tcPr>
          <w:p>
            <w:pPr>
              <w:spacing w:after="0"/>
              <w:rPr>
                <w:sz w:val="21"/>
                <w:szCs w:val="21"/>
                <w:color w:val="auto"/>
              </w:rPr>
            </w:pPr>
          </w:p>
        </w:tc>
        <w:tc>
          <w:tcPr>
            <w:tcW w:w="340" w:type="dxa"/>
            <w:vAlign w:val="bottom"/>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(17,474)</w:t>
            </w:r>
          </w:p>
        </w:tc>
      </w:tr>
      <w:tr>
        <w:trPr>
          <w:trHeight w:val="196"/>
        </w:trPr>
        <w:tc>
          <w:tcPr>
            <w:tcW w:w="540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360" w:type="dxa"/>
            <w:vAlign w:val="bottom"/>
            <w:tcBorders>
              <w:top w:val="single" w:sz="8" w:color="CFF0FC"/>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spacing w:after="0"/>
              <w:rPr>
                <w:sz w:val="17"/>
                <w:szCs w:val="17"/>
                <w:color w:val="auto"/>
              </w:rPr>
            </w:pPr>
          </w:p>
        </w:tc>
        <w:tc>
          <w:tcPr>
            <w:tcW w:w="320" w:type="dxa"/>
            <w:vAlign w:val="bottom"/>
            <w:tcBorders>
              <w:top w:val="single" w:sz="8" w:color="CFF0FC"/>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Working capital:</w:t>
            </w:r>
          </w:p>
        </w:tc>
        <w:tc>
          <w:tcPr>
            <w:tcW w:w="24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163,499</w:t>
            </w:r>
          </w:p>
        </w:tc>
        <w:tc>
          <w:tcPr>
            <w:tcW w:w="3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175,658</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(12,159)</w:t>
            </w:r>
          </w:p>
        </w:tc>
      </w:tr>
      <w:tr>
        <w:trPr>
          <w:trHeight w:val="216"/>
        </w:trPr>
        <w:tc>
          <w:tcPr>
            <w:tcW w:w="54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9,759</w:t>
            </w:r>
          </w:p>
        </w:tc>
        <w:tc>
          <w:tcPr>
            <w:tcW w:w="3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14,370</w:t>
            </w:r>
          </w:p>
        </w:tc>
        <w:tc>
          <w:tcPr>
            <w:tcW w:w="3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(4,611)</w:t>
            </w:r>
          </w:p>
        </w:tc>
      </w:tr>
      <w:tr>
        <w:trPr>
          <w:trHeight w:val="20"/>
        </w:trPr>
        <w:tc>
          <w:tcPr>
            <w:tcW w:w="54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5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working capital</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153,740</w:t>
            </w:r>
          </w:p>
        </w:tc>
        <w:tc>
          <w:tcPr>
            <w:tcW w:w="3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161,288</w:t>
            </w:r>
          </w:p>
        </w:tc>
        <w:tc>
          <w:tcPr>
            <w:tcW w:w="320" w:type="dxa"/>
            <w:vAlign w:val="bottom"/>
          </w:tcPr>
          <w:p>
            <w:pPr>
              <w:spacing w:after="0"/>
              <w:rPr>
                <w:sz w:val="18"/>
                <w:szCs w:val="18"/>
                <w:color w:val="auto"/>
              </w:rPr>
            </w:pP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(7,548)</w:t>
            </w:r>
          </w:p>
        </w:tc>
      </w:tr>
      <w:tr>
        <w:trPr>
          <w:trHeight w:val="20"/>
        </w:trPr>
        <w:tc>
          <w:tcPr>
            <w:tcW w:w="54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-744855</wp:posOffset>
            </wp:positionV>
            <wp:extent cx="7747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-728345</wp:posOffset>
            </wp:positionV>
            <wp:extent cx="7747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-744855</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-728345</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-744855</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-728345</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-170815</wp:posOffset>
            </wp:positionV>
            <wp:extent cx="7747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-170815</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21" w:lineRule="exact"/>
        <w:rPr>
          <w:sz w:val="20"/>
          <w:szCs w:val="20"/>
          <w:color w:val="auto"/>
        </w:rPr>
      </w:pPr>
    </w:p>
    <w:p>
      <w:pPr>
        <w:ind w:right="180" w:firstLine="509"/>
        <w:spacing w:after="0" w:line="281" w:lineRule="auto"/>
        <w:rPr>
          <w:sz w:val="20"/>
          <w:szCs w:val="20"/>
          <w:color w:val="auto"/>
        </w:rPr>
      </w:pPr>
      <w:r>
        <w:rPr>
          <w:rFonts w:ascii="Times New Roman" w:cs="Times New Roman" w:eastAsia="Times New Roman" w:hAnsi="Times New Roman"/>
          <w:sz w:val="17"/>
          <w:szCs w:val="17"/>
          <w:color w:val="auto"/>
        </w:rPr>
        <w:t>Since our inception, we have not generated any revenue from any product sales or any other sources and have incurred significant operating losses and negative cash flows from our operations. We have not yet commercialized any of our product candidates and we do not expect to generate revenue from sales of any product candidates for several years, if at all. As of March 31, 2025, we had cash, cash equivalents, and marketable securities of $165.8 million and an accumulated deficit of $386.1 million. We have financed our operations primarily through issuance and sales of our equity securities.</w:t>
      </w:r>
    </w:p>
    <w:p>
      <w:pPr>
        <w:spacing w:after="0" w:line="56" w:lineRule="exact"/>
        <w:rPr>
          <w:sz w:val="20"/>
          <w:szCs w:val="20"/>
          <w:color w:val="auto"/>
        </w:rPr>
      </w:pPr>
    </w:p>
    <w:p>
      <w:pPr>
        <w:ind w:right="180" w:firstLine="509"/>
        <w:spacing w:after="0" w:line="256" w:lineRule="auto"/>
        <w:rPr>
          <w:sz w:val="20"/>
          <w:szCs w:val="20"/>
          <w:color w:val="auto"/>
        </w:rPr>
      </w:pPr>
      <w:r>
        <w:rPr>
          <w:rFonts w:ascii="Times New Roman" w:cs="Times New Roman" w:eastAsia="Times New Roman" w:hAnsi="Times New Roman"/>
          <w:sz w:val="18"/>
          <w:szCs w:val="18"/>
          <w:color w:val="auto"/>
        </w:rPr>
        <w:t>On November 20, 2024 we filed a shelf registration statement on Form S-3 (File No. 333-283349) with the SEC and a prospectus supplement, which registered the offering, issuance and sale of up to $200.0 million of various equity and debt securities and up to $113.8 million of common stock pursuant to an at-the-market equity offering program with Jefferies LLC, dated October 4, 2021, or the ATM Program. The SEC declared the registration statement effective on November 27, 2024. During the three months ending March 31, 2025, we did not sell any shares of our common stock pursuant to the ATM Program. As of March 31, 2025, we had approximately $113.8 million remaining in gross proceeds available for future issuances of common stock under the ATM Program.</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Commitments</w:t>
      </w:r>
    </w:p>
    <w:p>
      <w:pPr>
        <w:spacing w:after="0" w:line="121"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We enter into contracts in the normal course of business with CROs and other vendors to assist in the performance of our research and development activities and other services and products for operating purposes. These contracts generally provide for termination on notice, and therefore are cancelable contracts and not included in the table of contractual obligations and commitments.</w:t>
      </w:r>
    </w:p>
    <w:p>
      <w:pPr>
        <w:spacing w:after="0" w:line="68"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On August 5, 2024, we entered into a Lease Termination Agreement, or the Termination Agreement, with BMR-One Research Way LLC, or the Landlord, to terminate the One Research Way Lease, effective as of September 30, 2024. Pursuant to the Termination Agreement, we surrendered our then-current headquarters at One Research Way and paid a total termination fee of approximately $1.42 million to the Landlord in October 2024. No further amounts or payments related to the One Research Way Lease are owed. The foregoing descriptions of the Termination Agreement is not complete and is qualified in its entirety by reference to the full text of the Termination Agreement, a copy of which was filed as Exhibit 10.1 to our Form 8-K filed with the SEC on August 8, 2024.</w:t>
      </w:r>
    </w:p>
    <w:p>
      <w:pPr>
        <w:spacing w:after="0" w:line="79"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color w:val="auto"/>
        </w:rPr>
        <w:t>In September 2024, we signed two subleases, one for 14,201 square feet of office space at 400 Alexander Park Drive, Suite 301, in Princeton, New Jersey, to be used as our new headquarters, or the 400 Alexander Sublease, and the other for 3,205 square feet of office and laboratory space at 311 Pennington Rocky Hill in Hopewell, New Jersey, to be used for our new laboratory space, or the 311 Pennington Sublease. The 400 Alexander Sublease term extends until February 2027, and the 311 Pennington Sublease term extends until December 2029 and has a three-year extension option. Amounts related to future lease payments for 311 Pennington Sublease as of March 31, 2025, totaled $0.7 million with $0.2 million to be paid within the next 12 months. Amounts related to future lease payments for 400 Alexander Sublease as of March 31, 2025, totaled $0.7 million with $0.3 million to be paid within the next 12 months.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Plan of Operation and Future Funding Requirements</w:t>
      </w:r>
    </w:p>
    <w:p>
      <w:pPr>
        <w:spacing w:after="0" w:line="121" w:lineRule="exact"/>
        <w:rPr>
          <w:sz w:val="20"/>
          <w:szCs w:val="20"/>
          <w:color w:val="auto"/>
        </w:rPr>
      </w:pPr>
    </w:p>
    <w:p>
      <w:pPr>
        <w:ind w:right="740" w:firstLine="509"/>
        <w:spacing w:after="0" w:line="282" w:lineRule="auto"/>
        <w:rPr>
          <w:sz w:val="20"/>
          <w:szCs w:val="20"/>
          <w:color w:val="auto"/>
        </w:rPr>
      </w:pPr>
      <w:r>
        <w:rPr>
          <w:rFonts w:ascii="Times New Roman" w:cs="Times New Roman" w:eastAsia="Times New Roman" w:hAnsi="Times New Roman"/>
          <w:sz w:val="18"/>
          <w:szCs w:val="18"/>
          <w:color w:val="auto"/>
        </w:rPr>
        <w:t>We use our capital resources primarily to fund operating expenses, mainly research and development expenditures. At this time, due to the inherently unpredictable nature of preclinical and clinical development, we cannot reasonably estimate the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24" w:name="page25"/>
    <w:bookmarkEnd w:id="24"/>
    <w:p>
      <w:pPr>
        <w:ind w:right="300"/>
        <w:spacing w:after="0" w:line="256" w:lineRule="auto"/>
        <w:rPr>
          <w:sz w:val="20"/>
          <w:szCs w:val="20"/>
          <w:color w:val="auto"/>
        </w:rPr>
      </w:pPr>
      <w:r>
        <w:rPr>
          <w:rFonts w:ascii="Times New Roman" w:cs="Times New Roman" w:eastAsia="Times New Roman" w:hAnsi="Times New Roman"/>
          <w:sz w:val="18"/>
          <w:szCs w:val="18"/>
          <w:color w:val="auto"/>
        </w:rPr>
        <w:t>costs we will incur and the timelines that will be required to complete development, obtain marketing approval and commercialize our current product candidates or any future product candidates, if at all. For the same reasons, we are also unable to predict when, if ever, we will generate revenue from product sales or whether, or when, if ever, we may achieve profitability. Clinical and preclinical development timelines, the probability of success, and development costs can differ materially from expectations. In addition, we cannot forecast which product candidates may be subject to future collaborations, when such arrangements will be secured, if at all, and to what degree such arrangements would affect our development plans and capital requirements.</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Due to our significant research and development expenditures, we have generated substantial operating losses in each period since inception. We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have incurred an accumulated deficit of $386.1 million through March 31, 2025. We expect to incur substantial additional losses in the future as we expand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research and development activities. For the three months ended March 31, 2025 and 2024, our cash operating expenditures were $18.3 million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$16.2 million, respectively. Based on our research and development plans, we expect that our cash, cash equivalents, and marketable securities as of March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 2025 will be sufficient to fund our planned operations at least through the end of 2026.</w:t>
      </w:r>
    </w:p>
    <w:p>
      <w:pPr>
        <w:spacing w:after="0" w:line="9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have based this estimate on assumptions that may prove to be wrong, however, and we could use our capital resources sooner than we expect.</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timing and amount of our operating expenditures will depend largely on:</w:t>
      </w:r>
    </w:p>
    <w:p>
      <w:pPr>
        <w:spacing w:after="0" w:line="117" w:lineRule="exact"/>
        <w:rPr>
          <w:sz w:val="20"/>
          <w:szCs w:val="20"/>
          <w:color w:val="auto"/>
        </w:rPr>
      </w:pPr>
    </w:p>
    <w:p>
      <w:pPr>
        <w:ind w:left="900" w:hanging="383"/>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progress of preclinical and clinical development activities;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scope of preclinical and clinical programs we decide to pursue;</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amount of milestone payments we may receive under any future collaboration agreements;</w:t>
      </w:r>
    </w:p>
    <w:p>
      <w:pPr>
        <w:spacing w:after="0" w:line="117" w:lineRule="exact"/>
        <w:rPr>
          <w:rFonts w:ascii="Times New Roman" w:cs="Times New Roman" w:eastAsia="Times New Roman" w:hAnsi="Times New Roman"/>
          <w:sz w:val="18"/>
          <w:szCs w:val="18"/>
          <w:color w:val="auto"/>
        </w:rPr>
      </w:pPr>
    </w:p>
    <w:p>
      <w:pPr>
        <w:ind w:left="900" w:right="800" w:hanging="383"/>
        <w:spacing w:after="0" w:line="282" w:lineRule="auto"/>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future licenses and research and development programs and to establish new collaboration and/or in-licensing arrangements;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prosecuting and enforcing patent and other intellectual property claims;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regulatory approvals; and</w:t>
      </w:r>
    </w:p>
    <w:p>
      <w:pPr>
        <w:spacing w:after="0" w:line="117" w:lineRule="exact"/>
        <w:rPr>
          <w:rFonts w:ascii="Times New Roman" w:cs="Times New Roman" w:eastAsia="Times New Roman" w:hAnsi="Times New Roman"/>
          <w:sz w:val="18"/>
          <w:szCs w:val="18"/>
          <w:color w:val="auto"/>
        </w:rPr>
      </w:pPr>
    </w:p>
    <w:p>
      <w:pPr>
        <w:ind w:left="900" w:right="940" w:hanging="383"/>
        <w:spacing w:after="0" w:line="282" w:lineRule="auto"/>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efforts to manage our office and laboratory headquarters, enhance operational systems and hire additional personnel to support development of our product candidates and satisfy our obligations as a public company.</w:t>
      </w:r>
    </w:p>
    <w:p>
      <w:pPr>
        <w:spacing w:after="0" w:line="54"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Until such time, if ever, as we can generate substantial revenue from product sales, we expect to fund our operations and capital funding needs through equity and/or debt financing. We may also consider entering into collaboration arrangements or selectively partnering for clinical development and commercialization. The sale of additional equity would result in additional dilution to our stockholders. The incurrence of debt financing would result in debt service obligations and the instruments governing such debt could provide for operating and financing covenants that would restrict our operations or our ability to incur additional indebtedness or pay dividends, among other items. If we raise additional funds through governmental funding, collaborations, strategic partnerships and alliances or marketing, distribution, or licensing arrangements with third parties, we may have to relinquish valuable rights to our technologies, future revenue streams, research programs or product candidates or grant licenses on terms that may not be favorable to us. If we are not able to secure adequate additional funding, we may be forced to make reductions in spending, extend payment terms with suppliers, liquidate assets where possible, and/or suspend or curtail planned programs. Any of these actions could materially and adversely affect our business, financial condition, results of operations and prospects.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 indicated (in thousands):</w:t>
      </w:r>
    </w:p>
    <w:p>
      <w:pPr>
        <w:spacing w:after="0" w:line="219" w:lineRule="exact"/>
        <w:rPr>
          <w:sz w:val="20"/>
          <w:szCs w:val="20"/>
          <w:color w:val="auto"/>
        </w:rPr>
      </w:pPr>
    </w:p>
    <w:p>
      <w:pPr>
        <w:jc w:val="center"/>
        <w:ind w:left="60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604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17"/>
        </w:trPr>
        <w:tc>
          <w:tcPr>
            <w:tcW w:w="53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640" w:type="dxa"/>
            <w:vAlign w:val="bottom"/>
            <w:tcBorders>
              <w:top w:val="single" w:sz="8" w:color="auto"/>
            </w:tcBorders>
          </w:tcPr>
          <w:p>
            <w:pPr>
              <w:jc w:val="right"/>
              <w:ind w:right="271"/>
              <w:spacing w:after="0" w:line="117" w:lineRule="exact"/>
              <w:rPr>
                <w:sz w:val="20"/>
                <w:szCs w:val="20"/>
                <w:color w:val="auto"/>
              </w:rPr>
            </w:pPr>
            <w:r>
              <w:rPr>
                <w:rFonts w:ascii="Times New Roman" w:cs="Times New Roman" w:eastAsia="Times New Roman" w:hAnsi="Times New Roman"/>
                <w:sz w:val="13"/>
                <w:szCs w:val="13"/>
                <w:b w:val="1"/>
                <w:bCs w:val="1"/>
                <w:color w:val="auto"/>
              </w:rPr>
              <w:t>2025</w:t>
            </w:r>
          </w:p>
        </w:tc>
        <w:tc>
          <w:tcPr>
            <w:tcW w:w="68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900" w:type="dxa"/>
            <w:vAlign w:val="bottom"/>
            <w:tcBorders>
              <w:top w:val="single" w:sz="8" w:color="auto"/>
            </w:tcBorders>
          </w:tcPr>
          <w:p>
            <w:pPr>
              <w:jc w:val="right"/>
              <w:ind w:right="956"/>
              <w:spacing w:after="0" w:line="117" w:lineRule="exact"/>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10"/>
                <w:szCs w:val="10"/>
                <w:color w:val="auto"/>
              </w:rPr>
            </w:pPr>
          </w:p>
        </w:tc>
      </w:tr>
      <w:tr>
        <w:trPr>
          <w:trHeight w:val="173"/>
        </w:trPr>
        <w:tc>
          <w:tcPr>
            <w:tcW w:w="5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68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tcPr>
          <w:p>
            <w:pPr>
              <w:jc w:val="right"/>
              <w:ind w:right="716"/>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tcPr>
          <w:p>
            <w:pPr>
              <w:spacing w:after="0"/>
              <w:rPr>
                <w:sz w:val="15"/>
                <w:szCs w:val="15"/>
                <w:color w:val="auto"/>
              </w:rPr>
            </w:pPr>
          </w:p>
        </w:tc>
      </w:tr>
      <w:tr>
        <w:trPr>
          <w:trHeight w:val="209"/>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used in operating activities</w:t>
            </w:r>
          </w:p>
        </w:tc>
        <w:tc>
          <w:tcPr>
            <w:tcW w:w="2500" w:type="dxa"/>
            <w:vAlign w:val="bottom"/>
            <w:gridSpan w:val="2"/>
            <w:shd w:val="clear" w:color="auto" w:fill="CFF0FC"/>
          </w:tcPr>
          <w:p>
            <w:pPr>
              <w:jc w:val="right"/>
              <w:ind w:right="149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(18,266)</w:t>
            </w:r>
          </w:p>
        </w:tc>
        <w:tc>
          <w:tcPr>
            <w:tcW w:w="4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(16,184)</w:t>
            </w: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Cash provided by investing activities</w:t>
            </w:r>
          </w:p>
        </w:tc>
        <w:tc>
          <w:tcPr>
            <w:tcW w:w="8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28,714</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26,166</w:t>
            </w:r>
          </w:p>
        </w:tc>
        <w:tc>
          <w:tcPr>
            <w:tcW w:w="100" w:type="dxa"/>
            <w:vAlign w:val="bottom"/>
          </w:tcPr>
          <w:p>
            <w:pPr>
              <w:spacing w:after="0"/>
              <w:rPr>
                <w:sz w:val="18"/>
                <w:szCs w:val="18"/>
                <w:color w:val="auto"/>
              </w:rPr>
            </w:pPr>
          </w:p>
        </w:tc>
      </w:tr>
      <w:tr>
        <w:trPr>
          <w:trHeight w:val="216"/>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provided by financing activities</w:t>
            </w:r>
          </w:p>
        </w:tc>
        <w:tc>
          <w:tcPr>
            <w:tcW w:w="86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Impact of exchange rates on cash, cash equivalents, and restricted cash</w:t>
            </w:r>
          </w:p>
        </w:tc>
        <w:tc>
          <w:tcPr>
            <w:tcW w:w="8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w:t>
            </w:r>
          </w:p>
        </w:tc>
      </w:tr>
      <w:tr>
        <w:trPr>
          <w:trHeight w:val="20"/>
        </w:trPr>
        <w:tc>
          <w:tcPr>
            <w:tcW w:w="5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2500" w:type="dxa"/>
            <w:vAlign w:val="bottom"/>
            <w:gridSpan w:val="2"/>
            <w:shd w:val="clear" w:color="auto" w:fill="CFF0FC"/>
          </w:tcPr>
          <w:p>
            <w:pPr>
              <w:jc w:val="right"/>
              <w:ind w:right="1491"/>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10,465</w:t>
            </w:r>
          </w:p>
        </w:tc>
        <w:tc>
          <w:tcPr>
            <w:tcW w:w="300" w:type="dxa"/>
            <w:vAlign w:val="bottom"/>
            <w:shd w:val="clear" w:color="auto" w:fill="CFF0FC"/>
          </w:tcPr>
          <w:p>
            <w:pPr>
              <w:spacing w:after="0"/>
              <w:rPr>
                <w:sz w:val="21"/>
                <w:szCs w:val="21"/>
                <w:color w:val="auto"/>
              </w:rPr>
            </w:pPr>
          </w:p>
        </w:tc>
        <w:tc>
          <w:tcPr>
            <w:tcW w:w="4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9,948</w:t>
            </w:r>
          </w:p>
        </w:tc>
        <w:tc>
          <w:tcPr>
            <w:tcW w:w="100" w:type="dxa"/>
            <w:vAlign w:val="bottom"/>
            <w:shd w:val="clear" w:color="auto" w:fill="CFF0FC"/>
          </w:tcPr>
          <w:p>
            <w:pPr>
              <w:spacing w:after="0"/>
              <w:rPr>
                <w:sz w:val="21"/>
                <w:szCs w:val="21"/>
                <w:color w:val="auto"/>
              </w:rPr>
            </w:pPr>
          </w:p>
        </w:tc>
      </w:tr>
      <w:tr>
        <w:trPr>
          <w:trHeight w:val="601"/>
        </w:trPr>
        <w:tc>
          <w:tcPr>
            <w:tcW w:w="5320" w:type="dxa"/>
            <w:vAlign w:val="bottom"/>
            <w:tcBorders>
              <w:top w:val="single" w:sz="8" w:color="CFF0FC"/>
            </w:tcBorders>
          </w:tcPr>
          <w:p>
            <w:pPr>
              <w:spacing w:after="0"/>
              <w:rPr>
                <w:sz w:val="24"/>
                <w:szCs w:val="24"/>
                <w:color w:val="auto"/>
              </w:rPr>
            </w:pPr>
          </w:p>
        </w:tc>
        <w:tc>
          <w:tcPr>
            <w:tcW w:w="860" w:type="dxa"/>
            <w:vAlign w:val="bottom"/>
            <w:tcBorders>
              <w:top w:val="single" w:sz="8" w:color="CFF0FC"/>
            </w:tcBorders>
          </w:tcPr>
          <w:p>
            <w:pPr>
              <w:jc w:val="right"/>
              <w:ind w:right="370"/>
              <w:spacing w:after="0"/>
              <w:rPr>
                <w:sz w:val="20"/>
                <w:szCs w:val="20"/>
                <w:color w:val="auto"/>
              </w:rPr>
            </w:pPr>
            <w:r>
              <w:rPr>
                <w:rFonts w:ascii="Times New Roman" w:cs="Times New Roman" w:eastAsia="Times New Roman" w:hAnsi="Times New Roman"/>
                <w:sz w:val="18"/>
                <w:szCs w:val="18"/>
                <w:color w:val="auto"/>
              </w:rPr>
              <w:t>21</w:t>
            </w:r>
          </w:p>
        </w:tc>
        <w:tc>
          <w:tcPr>
            <w:tcW w:w="164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300" w:type="dxa"/>
            <w:vAlign w:val="bottom"/>
            <w:tcBorders>
              <w:top w:val="single" w:sz="8" w:color="CFF0FC"/>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9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63"/>
        </w:trPr>
        <w:tc>
          <w:tcPr>
            <w:tcW w:w="53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-916305</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-899795</wp:posOffset>
            </wp:positionV>
            <wp:extent cx="6858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-916305</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-899795</wp:posOffset>
            </wp:positionV>
            <wp:extent cx="6858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25" w:name="page26"/>
    <w:bookmarkEnd w:id="25"/>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Net cash used in operating activities for the three months ended March 31, 2025, was $18.3 million, which consisted primarily of net loss of $17.4 million partially offset by non-cash charges of $0.7 million. Changes in our net operating assets decreased operating cash by $1.5 million. The non-cash charges primarily consisted of stock-based compensation of $1.5 million, and accretion of discounts on marketable securities of $0.8 million. The change in our net operating assets and liabilities was primarily due to a decrease in prepaid expenses and other assets, an increase in outstanding payables and a decrease in accrued expenses.</w:t>
      </w:r>
    </w:p>
    <w:p>
      <w:pPr>
        <w:spacing w:after="0" w:line="75"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Net cash used in operating activities for the three months ended March 31, 2024, was $16.2 million, which consisted primarily of net loss of $15.3 million partially offset by non-cash charges of $1.3 million. Changes in our net operating assets decreased operating cash by $2.2 million. The non-cash charges primarily consisted of stock-based compensation of $2.6 million, accretion of discounts on marketable securities of $1.6 million, depreciation of $0.4 million, and non-cash lease income of $0.1 million. The change in our net operating assets and liabilities was primarily due to an increase in prepaid expenses and other assets, a decrease in outstanding payables and an increase in accrued expenses.</w:t>
      </w:r>
    </w:p>
    <w:p>
      <w:pPr>
        <w:spacing w:after="0" w:line="2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Our investing activities provided $28.7 million of cash during the three months ended March 31, 2025, which consisted primarily of maturities of marketable securities of $44.4 million, partially offset by purchases of marketable securities of $15.7 million.</w:t>
      </w:r>
    </w:p>
    <w:p>
      <w:pPr>
        <w:spacing w:after="0" w:line="54"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Our investing activities provided $26.2 million of cash during the three months ended March 31, 2024, which consisted primarily of maturities of marketable securities of $57.2 million, partially offset by purchases of marketable securities of $30.5 million, along with purchase of property and equipment of $0.6 million.</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For the three months ended March 31, 2025 and 2024, net cash provided by financing activities was zero.</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 preparation of our condensed consolidated financial statements in conformity with accounting principles generally accepted in the United States requires us to make estimates and judgments that affect the amounts reported in those condensed consolidated financial statements and accompanying notes. Although we believe that the estimates we use are reasonable, due to the inherent uncertainty involved in making those estimates, actual results reported in future periods could differ from those estimates.</w:t>
      </w:r>
    </w:p>
    <w:p>
      <w:pPr>
        <w:spacing w:after="0" w:line="72"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We believe that the accounting policies described below involve a high degree of judgment and complexity. Accordingly, these are the policies we believe are the most critical to aid in fully understanding and evaluating our financial condition and results of our operations. During the three-month period ended March 31, 2025, there were no material changes to our critical accounting policies from those described in our audited condensed consolidated financial statements for the year ended December 31, 2024, included in our Annual Report on Form 10-K filed with the SEC on March 3, 2025, except as noted below.</w:t>
      </w:r>
    </w:p>
    <w:p>
      <w:pPr>
        <w:spacing w:after="0" w:line="2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Costs, Accrued Research and Development Costs and Related Prepaid Expenses</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Research and development costs are expensed as incurred. Research and development expenses consist principally of personnel costs, including salaries, stock-based compensation and benefits for employees, third-party license fees and other operational costs related to our research and development activities, including sourcing of raw materials and manufacturing of our product candidates, allocated facility-related expenses and external costs of outside vendors, and other direct and indirect costs. Non-refundable research and development advance payments are deferred and capitalized. The capitalized amounts are expensed as the related goods are delivered or services are performed.</w:t>
      </w:r>
    </w:p>
    <w:p>
      <w:pPr>
        <w:spacing w:after="0" w:line="75"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As part of the process of preparing our condensed consolidated financial statements, we are required to estimate our accrued research and development expenses. This process involves reviewing open contracts and purchase orders, communicating with our applicable personnel to identify services that have been performed on our behalf and estimating the level of service performed and the associated cost incurred for the service when we have not yet been invoiced or otherwise notified of actual costs. The majority of our service providers invoice us in arrears for services performed, on a pre-determined schedule or when contractual milestones are met; however, some require advance payments. We make estimates of our accrued</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6" w:right="339" w:bottom="1440" w:gutter="0" w:footer="0" w:header="0"/>
        </w:sectPr>
      </w:pPr>
    </w:p>
    <w:bookmarkStart w:id="26" w:name="page27"/>
    <w:bookmarkEnd w:id="26"/>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expenses as of each balance sheet date in the condensed consolidated financial statements based on facts and circumstances known to us at that time. We periodically confirm the accuracy of the estimates with the service providers and make adjustments if necessary. Examples of estimated accrued research and development expenses include fees paid to:</w:t>
      </w:r>
    </w:p>
    <w:p>
      <w:pPr>
        <w:spacing w:after="0" w:line="68" w:lineRule="exact"/>
        <w:rPr>
          <w:sz w:val="20"/>
          <w:szCs w:val="20"/>
          <w:color w:val="auto"/>
        </w:rPr>
      </w:pPr>
    </w:p>
    <w:p>
      <w:pPr>
        <w:ind w:left="900" w:hanging="383"/>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vendors, including research laboratories, in connection with preclinical development activities;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CROs and investigative sites in connection with preclinical studies and clinical trials;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CMOs in connection with drug substance and drug product formulation of preclinical studies and clinical trial materials.</w:t>
      </w:r>
    </w:p>
    <w:p>
      <w:pPr>
        <w:spacing w:after="0" w:line="11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base our expenses related to preclinical studies and clinical trials on our estimates of the services received and efforts expended pursuant to quotes and contracts with multiple research institutions and CROs that supply, conduct and manage preclinical studies and clinical trials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expense. Payments under some of these contracts depend on factors such as the successful enrollment of patients and the completion of clinical trial milestones. In accruing service fees, we estimate the time period over which services will be performed and the level of effort to be expended in each period. If the actual timing of the performance of services or the level of effort varies from the estimate, we adjust the accrual or the prepaid expense accordingly. Although we do not expect our estimates to be materially different from amounts actually incurred, our understanding of the status and timing of services performed relative to the actual status and timing of services performed may vary and may result in reporting amounts that are too high or too low in any particular period. To date, there have not been any material adjustments to our prior estimates of accrued research and development expenses.</w:t>
      </w:r>
    </w:p>
    <w:p>
      <w:pPr>
        <w:spacing w:after="0" w:line="2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For a description of recent accounting pronouncements, see Note 2 of the notes to our unaudited condensed consolidated financial statements for the three months ended March 31, 2025 included elsewhere in this Quarterly Report on Form 10-Q.</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are exposed to market risks in the ordinary course of our business. These risks primarily relate to interest rate risks.</w:t>
      </w:r>
    </w:p>
    <w:p>
      <w:pPr>
        <w:spacing w:after="0" w:line="117"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We had cash, cash equivalents, and marketable securities of $165.8 million as of March 31, 2025. The Company’s cash equivalents consist of interest-bearing U.S. treasury securities, money market funds, and corporate debt securities. Our exposure due to changes in interest rates is not material due to the nature and amount of our money-market funds and marketable securities.</w:t>
      </w:r>
    </w:p>
    <w:p>
      <w:pPr>
        <w:spacing w:after="0" w:line="68"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We are not currently exposed to significant market risk related to changes in foreign currency exchange rates; however, we may contract with foreign vendors that are located outside the United States in the future. This may subject us to fluctuations in foreign currency exchange rates in the future.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21"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provide reasonable assurance that information required to be disclosed in our Securities Exchange Act of 1934, as amended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for timely decisions regarding required disclosure.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81"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We carry out a variety of ongoing procedures, under the supervision and with the participation of our management, including our Chief Executive Officer and Chief Financial Officer, to evaluate the effectiveness of the design and operation of our disclosure controls and procedures. Based on the foregoing, our Chief Executive Officer and Chief Financial Officer concluded that our disclosure controls and procedures were effective at the reasonable assurance level as of March 31, 2025.</w:t>
      </w:r>
    </w:p>
    <w:p>
      <w:pPr>
        <w:spacing w:after="0" w:line="72"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There have not been any changes in our internal control over financial reporting during our most recent fiscal quarter that have materially affected, or are reasonably likely to materially affect, our internal control over financial reporting.</w:t>
      </w:r>
    </w:p>
    <w:p>
      <w:pPr>
        <w:spacing w:after="0" w:line="1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4" w:right="359" w:bottom="1440" w:gutter="0" w:footer="0" w:header="0"/>
        </w:sectPr>
      </w:pPr>
    </w:p>
    <w:bookmarkStart w:id="27" w:name="page28"/>
    <w:bookmarkEnd w:id="2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We are not currently involved in any litigation or legal proceedings that, in management’s opinion, are likely to have any material adverse effect on the Company.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right="200" w:firstLine="509"/>
        <w:spacing w:after="0" w:line="281" w:lineRule="auto"/>
        <w:rPr>
          <w:sz w:val="20"/>
          <w:szCs w:val="20"/>
          <w:color w:val="auto"/>
        </w:rPr>
      </w:pPr>
      <w:r>
        <w:rPr>
          <w:rFonts w:ascii="Times New Roman" w:cs="Times New Roman" w:eastAsia="Times New Roman" w:hAnsi="Times New Roman"/>
          <w:sz w:val="17"/>
          <w:szCs w:val="17"/>
          <w:color w:val="auto"/>
        </w:rPr>
        <w:t>Other than as described below, there have been no material changes to the Company’s risk factors as set forth in Part I, Item 1A of the Company’s Annual Report on Form 10-K for the fiscal year ended December 31, 2024, as filed with the SEC on March 3, 2025. You should carefully review and consider the information regarding certain factors which could materially affect our business, financial condition or future results set forth under the heading “Risk Factors” in our Annual Report on Form 10-K for the fiscal year ended December 31, 2024, as filed with the SEC on March 3, 2025.</w:t>
      </w: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Related to Employee Matters, Managing Our Growth and Other Risks Related to Our Business</w:t>
      </w:r>
    </w:p>
    <w:p>
      <w:pPr>
        <w:spacing w:after="0" w:line="117"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 portion of our chemistry-based product development and sourcing of certain manufacturing raw materials for our product candidates takes place in China through third-party manufacturers. A significant disruption in the operation of those manufacturers, a trade war or political unrest in China could materially adversely affect our business, financial condition and results of operations.</w:t>
      </w:r>
    </w:p>
    <w:p>
      <w:pPr>
        <w:spacing w:after="0" w:line="67" w:lineRule="exact"/>
        <w:rPr>
          <w:sz w:val="20"/>
          <w:szCs w:val="20"/>
          <w:color w:val="auto"/>
        </w:rPr>
      </w:pPr>
    </w:p>
    <w:p>
      <w:pPr>
        <w:ind w:firstLine="509"/>
        <w:spacing w:after="0" w:line="251" w:lineRule="auto"/>
        <w:rPr>
          <w:sz w:val="20"/>
          <w:szCs w:val="20"/>
          <w:color w:val="auto"/>
        </w:rPr>
      </w:pPr>
      <w:r>
        <w:rPr>
          <w:rFonts w:ascii="Times New Roman" w:cs="Times New Roman" w:eastAsia="Times New Roman" w:hAnsi="Times New Roman"/>
          <w:sz w:val="18"/>
          <w:szCs w:val="18"/>
          <w:color w:val="auto"/>
        </w:rPr>
        <w:t>We currently contract certain product development and manufacturing operations to third parties outside the United States, including in China, and we expect to continue to use such third-party manufacturers for such product candidates. Any disruption in production or inability of our manufacturers in China to produce adequate quantities to meet our needs, whether as a result of a natural disaster or other causes could impair our ability to operate our business on a day-to-day basis and to continue our development of our product candidates. Furthermore, since these manufacturers are located in China, we are exposed to the possibility of product supply disruption and increased costs in the event of changes in the policies of the United States or Chinese governments, political unrest or unstable economic conditions in China. For example, a trade war could lead to tariffs on the chemical intermediates and active pharmaceuticals ingredients we use that are manufactured in China. Beginning in February 2025, the United States imposed an additional 10% tariff on most imports from China, and this tariff was increased to 20% in March 2025. More recently, the United States and China have imposed significant additional tariffs of 125% on a large proportion of imports from the respective trading partner; both countries may continue to pursue new and/or retaliatory tariff and trade policies in response. Although certain products have been exempted from some of these tariffs, including many pharmaceutical products, these policies are subject to change. Moreover, the United States implemented additional tariffs of 10% on the import of a large proportion of imports from most U.S. trading partners in April 2025, and elevated reciprocal tariffs on these countries may resume if or when a current 90-day pause that began in April 2025 expires. In addition, the United States initiated an investigation into pharmaceuticals and pharmaceutical products in April 2025, the results of which could result in additional tariffs on pharmaceutical and pharmaceutical products under authorities provided in Section 232 of the Trade Expansion Act of 1962; whether, when, which products, and at what level such items may become subject to these additional tariffs is uncertain. These and other changes in tariffs and trade policies of the United States or its trading partners may affect our products or our customers, and could materially adversely affect our business, financial condition and results of operations. Any recall of the manufacturing lots or similar action regarding our product candidates used in clinical trials could delay the trials or detract from the integrity of the trial data and its potential use in future regulatory filings. In addition, manufacturing interruptions or failure to comply with regulatory requirements by any of these manufacturers could significantly delay clinical development of potential products and reduce third-party or clinical researcher interest and support of proposed trials. These interruptions or failures could also impede commercialization of our product candidates and impair our competitive position. Further, we may be exposed to fluctuations in the value of the local currency in China. Future appreciation of the local currency could increase our costs. In addition, our labor costs could continue to rise as wage rates increase due to increased demand for skilled laborers and the availability of skilled labor declines in China.</w:t>
      </w:r>
    </w:p>
    <w:p>
      <w:pPr>
        <w:spacing w:after="0" w:line="97"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In addition to the use of tariffs and other traditional trade tools, the U.S. government has made and continues to make significant additional changes in U.S. trade policy and may continue to take future actions that could negatively impact U.S. trade. In particular, the U.S. has made or considered making a broad set of trade-related or security-related policy changes with respect to specific counterparty countries, most significantly China, to create various limitations on cross-border operations. For example, legislation has been introduced in Congress to limit certain U.S. biotechnology companies from using equipment or services produced or provided by select Chinese biotechnology companies, and others in Congress have advocated for the use of existing executive branch authorities to limit those Chinese service providers’ ability to engage in business in the U.S. We cannot predict what actions may ultimately be taken with respect to trade relations between the United States and China or other countries, what products and services may be subject to such actions or what actions may be taken by the other countries in retaliation. If we are unable to obtain or use services from existing service providers or become unable to export or sell our</w:t>
      </w:r>
    </w:p>
    <w:p>
      <w:pPr>
        <w:spacing w:after="0" w:line="1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6"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color w:val="auto"/>
        </w:rPr>
        <w:t>products to any of our customers or service providers, our business, financial condition, and results of operations would be materially adversely affected.</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(a) Unregistered Sales of Equity Securities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(b) Use of Proceeds</w:t>
      </w:r>
    </w:p>
    <w:p>
      <w:pPr>
        <w:spacing w:after="0" w:line="119"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Our initial public offering of our common stock was effected pursuant to a registration statement on Form S-1 (File No. 333-248627), which was declared effective by the SEC on September 24, 2020. There has been no material change in the planned use of proceeds from our initial public offering as described our final prospectus filed with the SEC pursuant to Rule 424(b)(4) under the Securities Act on September 24, 2020.</w:t>
      </w:r>
    </w:p>
    <w:p>
      <w:pPr>
        <w:spacing w:after="0" w:line="2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 Issuer Purchases of Equity Securities.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jc w:val="center"/>
        <w:ind w:right="9060"/>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jc w:val="center"/>
        <w:ind w:right="9020"/>
        <w:spacing w:after="0"/>
        <w:rPr>
          <w:sz w:val="20"/>
          <w:szCs w:val="20"/>
          <w:color w:val="auto"/>
        </w:rPr>
      </w:pPr>
      <w:r>
        <w:rPr>
          <w:rFonts w:ascii="Times New Roman" w:cs="Times New Roman" w:eastAsia="Times New Roman" w:hAnsi="Times New Roman"/>
          <w:sz w:val="18"/>
          <w:szCs w:val="18"/>
          <w:color w:val="auto"/>
        </w:rPr>
        <w:t>Not applicable.</w:t>
      </w:r>
    </w:p>
    <w:p>
      <w:pPr>
        <w:spacing w:after="0" w:line="19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34" w:right="4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10"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920" w:type="dxa"/>
            <w:vAlign w:val="bottom"/>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400" w:type="dxa"/>
            <w:vAlign w:val="bottom"/>
            <w:gridSpan w:val="9"/>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600" w:type="dxa"/>
            <w:vAlign w:val="bottom"/>
            <w:vMerge w:val="restart"/>
          </w:tcPr>
          <w:p>
            <w:pPr>
              <w:jc w:val="center"/>
              <w:ind w:left="56"/>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190"/>
        </w:trPr>
        <w:tc>
          <w:tcPr>
            <w:tcW w:w="920" w:type="dxa"/>
            <w:vAlign w:val="bottom"/>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400" w:type="dxa"/>
            <w:vAlign w:val="bottom"/>
            <w:gridSpan w:val="9"/>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1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0"/>
        </w:trPr>
        <w:tc>
          <w:tcPr>
            <w:tcW w:w="920" w:type="dxa"/>
            <w:vAlign w:val="bottom"/>
          </w:tcPr>
          <w:p>
            <w:pPr>
              <w:jc w:val="center"/>
              <w:ind w:right="173"/>
              <w:spacing w:after="0"/>
              <w:rPr>
                <w:sz w:val="20"/>
                <w:szCs w:val="20"/>
                <w:color w:val="auto"/>
              </w:rPr>
            </w:pPr>
            <w:r>
              <w:rPr>
                <w:rFonts w:ascii="Times New Roman" w:cs="Times New Roman" w:eastAsia="Times New Roman" w:hAnsi="Times New Roman"/>
                <w:sz w:val="18"/>
                <w:szCs w:val="18"/>
                <w:color w:val="auto"/>
                <w:w w:val="97"/>
              </w:rPr>
              <w:t>3.1</w:t>
            </w:r>
          </w:p>
        </w:tc>
        <w:tc>
          <w:tcPr>
            <w:tcW w:w="5600" w:type="dxa"/>
            <w:vAlign w:val="bottom"/>
            <w:gridSpan w:val="12"/>
          </w:tcPr>
          <w:p>
            <w:pPr>
              <w:spacing w:after="0"/>
              <w:rPr>
                <w:rFonts w:ascii="Times New Roman" w:cs="Times New Roman" w:eastAsia="Times New Roman" w:hAnsi="Times New Roman"/>
                <w:sz w:val="18"/>
                <w:szCs w:val="18"/>
                <w:color w:val="0000FF"/>
              </w:rPr>
            </w:pPr>
            <w:hyperlink r:id="rId207">
              <w:r>
                <w:rPr>
                  <w:rFonts w:ascii="Times New Roman" w:cs="Times New Roman" w:eastAsia="Times New Roman" w:hAnsi="Times New Roman"/>
                  <w:sz w:val="18"/>
                  <w:szCs w:val="18"/>
                  <w:color w:val="0000FF"/>
                </w:rPr>
                <w:t>Amended and Restated Certificate of Incorporation of the Registrant</w:t>
              </w:r>
            </w:hyperlink>
            <w:r>
              <w:rPr>
                <w:rFonts w:ascii="Times New Roman" w:cs="Times New Roman" w:eastAsia="Times New Roman" w:hAnsi="Times New Roman"/>
                <w:sz w:val="18"/>
                <w:szCs w:val="18"/>
                <w:color w:val="000000"/>
              </w:rPr>
              <w:t>.</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160" w:type="dxa"/>
            <w:vAlign w:val="bottom"/>
          </w:tcPr>
          <w:p>
            <w:pPr>
              <w:jc w:val="center"/>
              <w:ind w:left="16"/>
              <w:spacing w:after="0"/>
              <w:rPr>
                <w:sz w:val="20"/>
                <w:szCs w:val="20"/>
                <w:color w:val="auto"/>
              </w:rPr>
            </w:pPr>
            <w:r>
              <w:rPr>
                <w:rFonts w:ascii="Times New Roman" w:cs="Times New Roman" w:eastAsia="Times New Roman" w:hAnsi="Times New Roman"/>
                <w:sz w:val="18"/>
                <w:szCs w:val="18"/>
                <w:color w:val="auto"/>
                <w:w w:val="99"/>
              </w:rPr>
              <w:t>001-39539</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600" w:type="dxa"/>
            <w:vAlign w:val="bottom"/>
          </w:tcPr>
          <w:p>
            <w:pPr>
              <w:jc w:val="center"/>
              <w:ind w:left="56"/>
              <w:spacing w:after="0"/>
              <w:rPr>
                <w:sz w:val="20"/>
                <w:szCs w:val="20"/>
                <w:color w:val="auto"/>
              </w:rPr>
            </w:pPr>
            <w:r>
              <w:rPr>
                <w:rFonts w:ascii="Times New Roman" w:cs="Times New Roman" w:eastAsia="Times New Roman" w:hAnsi="Times New Roman"/>
                <w:sz w:val="18"/>
                <w:szCs w:val="18"/>
                <w:color w:val="auto"/>
              </w:rPr>
              <w:t>September 29, 2020</w:t>
            </w:r>
          </w:p>
        </w:tc>
        <w:tc>
          <w:tcPr>
            <w:tcW w:w="0" w:type="dxa"/>
            <w:vAlign w:val="bottom"/>
          </w:tcPr>
          <w:p>
            <w:pPr>
              <w:spacing w:after="0"/>
              <w:rPr>
                <w:sz w:val="1"/>
                <w:szCs w:val="1"/>
                <w:color w:val="auto"/>
              </w:rPr>
            </w:pPr>
          </w:p>
        </w:tc>
      </w:tr>
      <w:tr>
        <w:trPr>
          <w:trHeight w:val="20"/>
        </w:trPr>
        <w:tc>
          <w:tcPr>
            <w:tcW w:w="920" w:type="dxa"/>
            <w:vAlign w:val="bottom"/>
            <w:tcBorders>
              <w:right w:val="single" w:sz="8" w:color="0000EE"/>
            </w:tcBorders>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1100" w:type="dxa"/>
            <w:vAlign w:val="bottom"/>
            <w:tcBorders>
              <w:right w:val="single" w:sz="8" w:color="0000FF"/>
            </w:tcBorders>
            <w:shd w:val="clear" w:color="auto" w:fill="0000FF"/>
          </w:tcPr>
          <w:p>
            <w:pPr>
              <w:spacing w:after="0" w:line="20" w:lineRule="exact"/>
              <w:rPr>
                <w:sz w:val="1"/>
                <w:szCs w:val="1"/>
                <w:color w:val="auto"/>
              </w:rPr>
            </w:pPr>
          </w:p>
        </w:tc>
        <w:tc>
          <w:tcPr>
            <w:tcW w:w="12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tcPr>
          <w:p>
            <w:pPr>
              <w:jc w:val="center"/>
              <w:ind w:right="173"/>
              <w:spacing w:after="0"/>
              <w:rPr>
                <w:sz w:val="20"/>
                <w:szCs w:val="20"/>
                <w:color w:val="auto"/>
              </w:rPr>
            </w:pPr>
            <w:r>
              <w:rPr>
                <w:rFonts w:ascii="Times New Roman" w:cs="Times New Roman" w:eastAsia="Times New Roman" w:hAnsi="Times New Roman"/>
                <w:sz w:val="18"/>
                <w:szCs w:val="18"/>
                <w:color w:val="auto"/>
                <w:w w:val="97"/>
              </w:rPr>
              <w:t>3.2</w:t>
            </w:r>
          </w:p>
        </w:tc>
        <w:tc>
          <w:tcPr>
            <w:tcW w:w="5600" w:type="dxa"/>
            <w:vAlign w:val="bottom"/>
            <w:gridSpan w:val="12"/>
          </w:tcPr>
          <w:p>
            <w:pPr>
              <w:spacing w:after="0"/>
              <w:rPr>
                <w:rFonts w:ascii="Times New Roman" w:cs="Times New Roman" w:eastAsia="Times New Roman" w:hAnsi="Times New Roman"/>
                <w:sz w:val="18"/>
                <w:szCs w:val="18"/>
                <w:color w:val="0000FF"/>
              </w:rPr>
            </w:pPr>
            <w:hyperlink r:id="rId208">
              <w:r>
                <w:rPr>
                  <w:rFonts w:ascii="Times New Roman" w:cs="Times New Roman" w:eastAsia="Times New Roman" w:hAnsi="Times New Roman"/>
                  <w:sz w:val="18"/>
                  <w:szCs w:val="18"/>
                  <w:color w:val="0000FF"/>
                </w:rPr>
                <w:t>Amended and Restated Bylaws of the Registrant</w:t>
              </w:r>
            </w:hyperlink>
            <w:r>
              <w:rPr>
                <w:rFonts w:ascii="Times New Roman" w:cs="Times New Roman" w:eastAsia="Times New Roman" w:hAnsi="Times New Roman"/>
                <w:sz w:val="18"/>
                <w:szCs w:val="18"/>
                <w:color w:val="000000"/>
              </w:rPr>
              <w:t>.</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1160" w:type="dxa"/>
            <w:vAlign w:val="bottom"/>
          </w:tcPr>
          <w:p>
            <w:pPr>
              <w:jc w:val="center"/>
              <w:ind w:left="16"/>
              <w:spacing w:after="0"/>
              <w:rPr>
                <w:sz w:val="20"/>
                <w:szCs w:val="20"/>
                <w:color w:val="auto"/>
              </w:rPr>
            </w:pPr>
            <w:r>
              <w:rPr>
                <w:rFonts w:ascii="Times New Roman" w:cs="Times New Roman" w:eastAsia="Times New Roman" w:hAnsi="Times New Roman"/>
                <w:sz w:val="18"/>
                <w:szCs w:val="18"/>
                <w:color w:val="auto"/>
                <w:w w:val="99"/>
              </w:rPr>
              <w:t>001-39539</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3.3</w:t>
            </w:r>
          </w:p>
        </w:tc>
        <w:tc>
          <w:tcPr>
            <w:tcW w:w="1600" w:type="dxa"/>
            <w:vAlign w:val="bottom"/>
          </w:tcPr>
          <w:p>
            <w:pPr>
              <w:jc w:val="center"/>
              <w:ind w:left="56"/>
              <w:spacing w:after="0"/>
              <w:rPr>
                <w:sz w:val="20"/>
                <w:szCs w:val="20"/>
                <w:color w:val="auto"/>
              </w:rPr>
            </w:pPr>
            <w:r>
              <w:rPr>
                <w:rFonts w:ascii="Times New Roman" w:cs="Times New Roman" w:eastAsia="Times New Roman" w:hAnsi="Times New Roman"/>
                <w:sz w:val="18"/>
                <w:szCs w:val="18"/>
                <w:color w:val="auto"/>
              </w:rPr>
              <w:t>May 10, 2023</w:t>
            </w:r>
          </w:p>
        </w:tc>
        <w:tc>
          <w:tcPr>
            <w:tcW w:w="0" w:type="dxa"/>
            <w:vAlign w:val="bottom"/>
          </w:tcPr>
          <w:p>
            <w:pPr>
              <w:spacing w:after="0"/>
              <w:rPr>
                <w:sz w:val="1"/>
                <w:szCs w:val="1"/>
                <w:color w:val="auto"/>
              </w:rPr>
            </w:pPr>
          </w:p>
        </w:tc>
      </w:tr>
      <w:tr>
        <w:trPr>
          <w:trHeight w:val="20"/>
        </w:trPr>
        <w:tc>
          <w:tcPr>
            <w:tcW w:w="920" w:type="dxa"/>
            <w:vAlign w:val="bottom"/>
            <w:tcBorders>
              <w:right w:val="single" w:sz="8" w:color="0000EE"/>
            </w:tcBorders>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1100" w:type="dxa"/>
            <w:vAlign w:val="bottom"/>
            <w:tcBorders>
              <w:right w:val="single" w:sz="8" w:color="0000FF"/>
            </w:tcBorders>
            <w:shd w:val="clear" w:color="auto" w:fill="0000FF"/>
          </w:tcPr>
          <w:p>
            <w:pPr>
              <w:spacing w:after="0" w:line="20" w:lineRule="exact"/>
              <w:rPr>
                <w:sz w:val="1"/>
                <w:szCs w:val="1"/>
                <w:color w:val="auto"/>
              </w:rPr>
            </w:pPr>
          </w:p>
        </w:tc>
        <w:tc>
          <w:tcPr>
            <w:tcW w:w="12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tcPr>
          <w:p>
            <w:pPr>
              <w:jc w:val="center"/>
              <w:ind w:right="173"/>
              <w:spacing w:after="0"/>
              <w:rPr>
                <w:sz w:val="20"/>
                <w:szCs w:val="20"/>
                <w:color w:val="auto"/>
              </w:rPr>
            </w:pPr>
            <w:r>
              <w:rPr>
                <w:rFonts w:ascii="Times New Roman" w:cs="Times New Roman" w:eastAsia="Times New Roman" w:hAnsi="Times New Roman"/>
                <w:sz w:val="18"/>
                <w:szCs w:val="18"/>
                <w:color w:val="auto"/>
              </w:rPr>
              <w:t>10.1+</w:t>
            </w:r>
          </w:p>
        </w:tc>
        <w:tc>
          <w:tcPr>
            <w:tcW w:w="560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Amended Outside Director Compensation Policy.</w:t>
            </w:r>
          </w:p>
        </w:tc>
        <w:tc>
          <w:tcPr>
            <w:tcW w:w="8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20" w:type="dxa"/>
            <w:vAlign w:val="bottom"/>
            <w:tcBorders>
              <w:right w:val="single" w:sz="8" w:color="0000EE"/>
            </w:tcBorders>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1100" w:type="dxa"/>
            <w:vAlign w:val="bottom"/>
            <w:tcBorders>
              <w:right w:val="single" w:sz="8" w:color="0000FF"/>
            </w:tcBorders>
            <w:shd w:val="clear" w:color="auto" w:fill="0000FF"/>
          </w:tcPr>
          <w:p>
            <w:pPr>
              <w:spacing w:after="0" w:line="20" w:lineRule="exact"/>
              <w:rPr>
                <w:sz w:val="1"/>
                <w:szCs w:val="1"/>
                <w:color w:val="auto"/>
              </w:rPr>
            </w:pPr>
          </w:p>
        </w:tc>
        <w:tc>
          <w:tcPr>
            <w:tcW w:w="12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tcPr>
          <w:p>
            <w:pPr>
              <w:jc w:val="center"/>
              <w:ind w:right="173"/>
              <w:spacing w:after="0"/>
              <w:rPr>
                <w:sz w:val="20"/>
                <w:szCs w:val="20"/>
                <w:color w:val="auto"/>
              </w:rPr>
            </w:pPr>
            <w:r>
              <w:rPr>
                <w:rFonts w:ascii="Times New Roman" w:cs="Times New Roman" w:eastAsia="Times New Roman" w:hAnsi="Times New Roman"/>
                <w:sz w:val="18"/>
                <w:szCs w:val="18"/>
                <w:color w:val="auto"/>
              </w:rPr>
              <w:t>10.2+</w:t>
            </w:r>
          </w:p>
        </w:tc>
        <w:tc>
          <w:tcPr>
            <w:tcW w:w="560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Offer Letter Agreement dated November 5, 2025, by and between the</w:t>
            </w:r>
          </w:p>
        </w:tc>
        <w:tc>
          <w:tcPr>
            <w:tcW w:w="8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1100" w:type="dxa"/>
            <w:vAlign w:val="bottom"/>
            <w:tcBorders>
              <w:right w:val="single" w:sz="8" w:color="0000FF"/>
            </w:tcBorders>
            <w:shd w:val="clear" w:color="auto" w:fill="0000FF"/>
          </w:tcPr>
          <w:p>
            <w:pPr>
              <w:spacing w:after="0" w:line="20" w:lineRule="exact"/>
              <w:rPr>
                <w:sz w:val="1"/>
                <w:szCs w:val="1"/>
                <w:color w:val="auto"/>
              </w:rPr>
            </w:pPr>
          </w:p>
        </w:tc>
        <w:tc>
          <w:tcPr>
            <w:tcW w:w="1260" w:type="dxa"/>
            <w:vAlign w:val="bottom"/>
            <w:tcBorders>
              <w:right w:val="single" w:sz="8" w:color="0000FF"/>
            </w:tcBorders>
            <w:shd w:val="clear" w:color="auto" w:fill="0000FF"/>
          </w:tcPr>
          <w:p>
            <w:pPr>
              <w:spacing w:after="0" w:line="20" w:lineRule="exact"/>
              <w:rPr>
                <w:sz w:val="1"/>
                <w:szCs w:val="1"/>
                <w:color w:val="auto"/>
              </w:rPr>
            </w:pPr>
          </w:p>
        </w:tc>
        <w:tc>
          <w:tcPr>
            <w:tcW w:w="1580" w:type="dxa"/>
            <w:vAlign w:val="bottom"/>
            <w:tcBorders>
              <w:left w:val="single" w:sz="8" w:color="0000FF"/>
            </w:tcBorders>
            <w:gridSpan w:val="3"/>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560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Registrant and Robert Ticktin.</w:t>
            </w:r>
          </w:p>
        </w:tc>
        <w:tc>
          <w:tcPr>
            <w:tcW w:w="8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Borders>
              <w:right w:val="single" w:sz="8" w:color="0000EE"/>
            </w:tcBorders>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1100" w:type="dxa"/>
            <w:vAlign w:val="bottom"/>
            <w:tcBorders>
              <w:right w:val="single" w:sz="8" w:color="0000EE"/>
            </w:tcBorders>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7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tcPr>
          <w:p>
            <w:pPr>
              <w:jc w:val="center"/>
              <w:ind w:right="173"/>
              <w:spacing w:after="0"/>
              <w:rPr>
                <w:sz w:val="20"/>
                <w:szCs w:val="20"/>
                <w:color w:val="auto"/>
              </w:rPr>
            </w:pPr>
            <w:r>
              <w:rPr>
                <w:rFonts w:ascii="Times New Roman" w:cs="Times New Roman" w:eastAsia="Times New Roman" w:hAnsi="Times New Roman"/>
                <w:sz w:val="18"/>
                <w:szCs w:val="18"/>
                <w:color w:val="auto"/>
              </w:rPr>
              <w:t>10.3+</w:t>
            </w:r>
          </w:p>
        </w:tc>
        <w:tc>
          <w:tcPr>
            <w:tcW w:w="560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w w:val="99"/>
              </w:rPr>
              <w:t>Amended and Restated Change in Control and Severance Policy Participation</w:t>
            </w:r>
          </w:p>
        </w:tc>
        <w:tc>
          <w:tcPr>
            <w:tcW w:w="8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2360" w:type="dxa"/>
            <w:vAlign w:val="bottom"/>
            <w:tcBorders>
              <w:right w:val="single" w:sz="8" w:color="0000FF"/>
            </w:tcBorders>
            <w:gridSpan w:val="2"/>
            <w:shd w:val="clear" w:color="auto" w:fill="0000FF"/>
          </w:tcPr>
          <w:p>
            <w:pPr>
              <w:spacing w:after="0" w:line="20" w:lineRule="exact"/>
              <w:rPr>
                <w:sz w:val="1"/>
                <w:szCs w:val="1"/>
                <w:color w:val="auto"/>
              </w:rPr>
            </w:pPr>
          </w:p>
        </w:tc>
        <w:tc>
          <w:tcPr>
            <w:tcW w:w="1740" w:type="dxa"/>
            <w:vAlign w:val="bottom"/>
            <w:tcBorders>
              <w:left w:val="single" w:sz="8" w:color="0000FF"/>
            </w:tcBorders>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560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Agreement, dated November 5, 2025, by and between the Registrant and</w:t>
            </w:r>
          </w:p>
        </w:tc>
        <w:tc>
          <w:tcPr>
            <w:tcW w:w="8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2360" w:type="dxa"/>
            <w:vAlign w:val="bottom"/>
            <w:tcBorders>
              <w:right w:val="single" w:sz="8" w:color="0000FF"/>
            </w:tcBorders>
            <w:gridSpan w:val="2"/>
            <w:shd w:val="clear" w:color="auto" w:fill="0000FF"/>
          </w:tcPr>
          <w:p>
            <w:pPr>
              <w:spacing w:after="0" w:line="20" w:lineRule="exact"/>
              <w:rPr>
                <w:sz w:val="1"/>
                <w:szCs w:val="1"/>
                <w:color w:val="auto"/>
              </w:rPr>
            </w:pPr>
          </w:p>
        </w:tc>
        <w:tc>
          <w:tcPr>
            <w:tcW w:w="1740" w:type="dxa"/>
            <w:vAlign w:val="bottom"/>
            <w:tcBorders>
              <w:left w:val="single" w:sz="8" w:color="0000FF"/>
            </w:tcBorders>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560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Robert Ticktin.</w:t>
            </w:r>
          </w:p>
        </w:tc>
        <w:tc>
          <w:tcPr>
            <w:tcW w:w="8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Borders>
              <w:right w:val="single" w:sz="8" w:color="0000EE"/>
            </w:tcBorders>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EE"/>
            </w:tcBorders>
            <w:shd w:val="clear" w:color="auto" w:fill="0000FF"/>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174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tcPr>
          <w:p>
            <w:pPr>
              <w:jc w:val="center"/>
              <w:ind w:right="173"/>
              <w:spacing w:after="0"/>
              <w:rPr>
                <w:sz w:val="20"/>
                <w:szCs w:val="20"/>
                <w:color w:val="auto"/>
              </w:rPr>
            </w:pPr>
            <w:r>
              <w:rPr>
                <w:rFonts w:ascii="Times New Roman" w:cs="Times New Roman" w:eastAsia="Times New Roman" w:hAnsi="Times New Roman"/>
                <w:sz w:val="18"/>
                <w:szCs w:val="18"/>
                <w:color w:val="auto"/>
              </w:rPr>
              <w:t>31.1+</w:t>
            </w:r>
          </w:p>
        </w:tc>
        <w:tc>
          <w:tcPr>
            <w:tcW w:w="560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Rules 13a-14(a) and</w:t>
            </w:r>
          </w:p>
        </w:tc>
        <w:tc>
          <w:tcPr>
            <w:tcW w:w="8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3040" w:type="dxa"/>
            <w:vAlign w:val="bottom"/>
            <w:tcBorders>
              <w:right w:val="single" w:sz="8" w:color="0000FF"/>
            </w:tcBorders>
            <w:gridSpan w:val="3"/>
            <w:shd w:val="clear" w:color="auto" w:fill="0000FF"/>
          </w:tcPr>
          <w:p>
            <w:pPr>
              <w:spacing w:after="0" w:line="20" w:lineRule="exact"/>
              <w:rPr>
                <w:sz w:val="1"/>
                <w:szCs w:val="1"/>
                <w:color w:val="auto"/>
              </w:rPr>
            </w:pPr>
          </w:p>
        </w:tc>
        <w:tc>
          <w:tcPr>
            <w:tcW w:w="1740" w:type="dxa"/>
            <w:vAlign w:val="bottom"/>
            <w:tcBorders>
              <w:left w:val="single" w:sz="8" w:color="0000FF"/>
            </w:tcBorders>
            <w:gridSpan w:val="4"/>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560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w w:val="99"/>
              </w:rPr>
              <w:t>15d-14(a) under the Securities Exchange Act of 1934, as Adopted Pursuant to</w:t>
            </w:r>
          </w:p>
        </w:tc>
        <w:tc>
          <w:tcPr>
            <w:tcW w:w="8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3040" w:type="dxa"/>
            <w:vAlign w:val="bottom"/>
            <w:tcBorders>
              <w:right w:val="single" w:sz="8" w:color="0000FF"/>
            </w:tcBorders>
            <w:gridSpan w:val="3"/>
            <w:shd w:val="clear" w:color="auto" w:fill="0000FF"/>
          </w:tcPr>
          <w:p>
            <w:pPr>
              <w:spacing w:after="0" w:line="20" w:lineRule="exact"/>
              <w:rPr>
                <w:sz w:val="1"/>
                <w:szCs w:val="1"/>
                <w:color w:val="auto"/>
              </w:rPr>
            </w:pPr>
          </w:p>
        </w:tc>
        <w:tc>
          <w:tcPr>
            <w:tcW w:w="1740" w:type="dxa"/>
            <w:vAlign w:val="bottom"/>
            <w:tcBorders>
              <w:left w:val="single" w:sz="8" w:color="0000FF"/>
            </w:tcBorders>
            <w:gridSpan w:val="4"/>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560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Section 302 of the Sarbanes-Oxley Act of 2002.</w:t>
            </w:r>
          </w:p>
        </w:tc>
        <w:tc>
          <w:tcPr>
            <w:tcW w:w="8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Borders>
              <w:right w:val="single" w:sz="8" w:color="0000EE"/>
            </w:tcBorders>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3040" w:type="dxa"/>
            <w:vAlign w:val="bottom"/>
            <w:tcBorders>
              <w:right w:val="single" w:sz="8" w:color="0000EE"/>
            </w:tcBorders>
            <w:gridSpan w:val="3"/>
            <w:shd w:val="clear" w:color="auto" w:fill="0000FF"/>
          </w:tcPr>
          <w:p>
            <w:pPr>
              <w:spacing w:after="0" w:line="20" w:lineRule="exact"/>
              <w:rPr>
                <w:sz w:val="1"/>
                <w:szCs w:val="1"/>
                <w:color w:val="auto"/>
              </w:rPr>
            </w:pPr>
          </w:p>
        </w:tc>
        <w:tc>
          <w:tcPr>
            <w:tcW w:w="174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tcPr>
          <w:p>
            <w:pPr>
              <w:jc w:val="center"/>
              <w:ind w:right="173"/>
              <w:spacing w:after="0"/>
              <w:rPr>
                <w:sz w:val="20"/>
                <w:szCs w:val="20"/>
                <w:color w:val="auto"/>
              </w:rPr>
            </w:pPr>
            <w:r>
              <w:rPr>
                <w:rFonts w:ascii="Times New Roman" w:cs="Times New Roman" w:eastAsia="Times New Roman" w:hAnsi="Times New Roman"/>
                <w:sz w:val="18"/>
                <w:szCs w:val="18"/>
                <w:color w:val="auto"/>
              </w:rPr>
              <w:t>31.2+</w:t>
            </w:r>
          </w:p>
        </w:tc>
        <w:tc>
          <w:tcPr>
            <w:tcW w:w="560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w:t>
            </w:r>
          </w:p>
        </w:tc>
        <w:tc>
          <w:tcPr>
            <w:tcW w:w="8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4780" w:type="dxa"/>
            <w:vAlign w:val="bottom"/>
            <w:gridSpan w:val="7"/>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560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w w:val="99"/>
              </w:rPr>
              <w:t>15d-14(a) under the Securities Exchange Act of 1934, as Adopted Pursuant to</w:t>
            </w:r>
          </w:p>
        </w:tc>
        <w:tc>
          <w:tcPr>
            <w:tcW w:w="8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4780" w:type="dxa"/>
            <w:vAlign w:val="bottom"/>
            <w:gridSpan w:val="7"/>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tcBorders>
            <w:gridSpan w:val="2"/>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560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Section 302 of the Sarbanes-Oxley Act of 2002.</w:t>
            </w:r>
          </w:p>
        </w:tc>
        <w:tc>
          <w:tcPr>
            <w:tcW w:w="8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Borders>
              <w:right w:val="single" w:sz="8" w:color="0000EE"/>
            </w:tcBorders>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3040" w:type="dxa"/>
            <w:vAlign w:val="bottom"/>
            <w:tcBorders>
              <w:right w:val="single" w:sz="8" w:color="0000EE"/>
            </w:tcBorders>
            <w:gridSpan w:val="3"/>
            <w:shd w:val="clear" w:color="auto" w:fill="0000FF"/>
          </w:tcPr>
          <w:p>
            <w:pPr>
              <w:spacing w:after="0" w:line="20" w:lineRule="exact"/>
              <w:rPr>
                <w:sz w:val="1"/>
                <w:szCs w:val="1"/>
                <w:color w:val="auto"/>
              </w:rPr>
            </w:pPr>
          </w:p>
        </w:tc>
        <w:tc>
          <w:tcPr>
            <w:tcW w:w="174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tcPr>
          <w:p>
            <w:pPr>
              <w:jc w:val="center"/>
              <w:ind w:right="173"/>
              <w:spacing w:after="0"/>
              <w:rPr>
                <w:sz w:val="20"/>
                <w:szCs w:val="20"/>
                <w:color w:val="auto"/>
              </w:rPr>
            </w:pPr>
            <w:r>
              <w:rPr>
                <w:rFonts w:ascii="Times New Roman" w:cs="Times New Roman" w:eastAsia="Times New Roman" w:hAnsi="Times New Roman"/>
                <w:sz w:val="18"/>
                <w:szCs w:val="18"/>
                <w:color w:val="auto"/>
                <w:w w:val="98"/>
              </w:rPr>
              <w:t>32.1+†</w:t>
            </w:r>
          </w:p>
        </w:tc>
        <w:tc>
          <w:tcPr>
            <w:tcW w:w="560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w:t>
            </w:r>
          </w:p>
        </w:tc>
        <w:tc>
          <w:tcPr>
            <w:tcW w:w="8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4780" w:type="dxa"/>
            <w:vAlign w:val="bottom"/>
            <w:gridSpan w:val="7"/>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tcBorders>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560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1350, as Adopted Pursuant to Section 906 of the Sarbanes-Oxley Act of</w:t>
            </w:r>
          </w:p>
        </w:tc>
        <w:tc>
          <w:tcPr>
            <w:tcW w:w="8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1100" w:type="dxa"/>
            <w:vAlign w:val="bottom"/>
            <w:tcBorders>
              <w:right w:val="single" w:sz="8" w:color="0000FF"/>
            </w:tcBorders>
            <w:shd w:val="clear" w:color="auto" w:fill="0000FF"/>
          </w:tcPr>
          <w:p>
            <w:pPr>
              <w:spacing w:after="0" w:line="20" w:lineRule="exact"/>
              <w:rPr>
                <w:sz w:val="1"/>
                <w:szCs w:val="1"/>
                <w:color w:val="auto"/>
              </w:rPr>
            </w:pPr>
          </w:p>
        </w:tc>
        <w:tc>
          <w:tcPr>
            <w:tcW w:w="12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4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FF"/>
                <w:w w:val="93"/>
              </w:rPr>
              <w:t>2002.</w:t>
            </w:r>
          </w:p>
        </w:tc>
        <w:tc>
          <w:tcPr>
            <w:tcW w:w="6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Borders>
              <w:right w:val="single" w:sz="8" w:color="0000EE"/>
            </w:tcBorders>
          </w:tcPr>
          <w:p>
            <w:pPr>
              <w:spacing w:after="0" w:line="20" w:lineRule="exact"/>
              <w:rPr>
                <w:sz w:val="1"/>
                <w:szCs w:val="1"/>
                <w:color w:val="auto"/>
              </w:rPr>
            </w:pPr>
          </w:p>
        </w:tc>
        <w:tc>
          <w:tcPr>
            <w:tcW w:w="420" w:type="dxa"/>
            <w:vAlign w:val="bottom"/>
            <w:tcBorders>
              <w:right w:val="single" w:sz="8" w:color="0000EE"/>
            </w:tcBorders>
            <w:shd w:val="clear" w:color="auto" w:fill="0000FF"/>
          </w:tcPr>
          <w:p>
            <w:pPr>
              <w:spacing w:after="0" w:line="20" w:lineRule="exact"/>
              <w:rPr>
                <w:sz w:val="1"/>
                <w:szCs w:val="1"/>
                <w:color w:val="auto"/>
              </w:rPr>
            </w:pPr>
          </w:p>
        </w:tc>
        <w:tc>
          <w:tcPr>
            <w:tcW w:w="4880" w:type="dxa"/>
            <w:vAlign w:val="bottom"/>
            <w:gridSpan w:val="9"/>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tcPr>
          <w:p>
            <w:pPr>
              <w:jc w:val="center"/>
              <w:ind w:right="173"/>
              <w:spacing w:after="0"/>
              <w:rPr>
                <w:sz w:val="20"/>
                <w:szCs w:val="20"/>
                <w:color w:val="auto"/>
              </w:rPr>
            </w:pPr>
            <w:r>
              <w:rPr>
                <w:rFonts w:ascii="Times New Roman" w:cs="Times New Roman" w:eastAsia="Times New Roman" w:hAnsi="Times New Roman"/>
                <w:sz w:val="18"/>
                <w:szCs w:val="18"/>
                <w:color w:val="auto"/>
                <w:w w:val="98"/>
              </w:rPr>
              <w:t>32.2+†</w:t>
            </w:r>
          </w:p>
        </w:tc>
        <w:tc>
          <w:tcPr>
            <w:tcW w:w="560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w:t>
            </w:r>
          </w:p>
        </w:tc>
        <w:tc>
          <w:tcPr>
            <w:tcW w:w="8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5300" w:type="dxa"/>
            <w:vAlign w:val="bottom"/>
            <w:gridSpan w:val="10"/>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560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1350, as Adopted Pursuant to Section 906 of the Sarbanes-Oxley Act of</w:t>
            </w:r>
          </w:p>
        </w:tc>
        <w:tc>
          <w:tcPr>
            <w:tcW w:w="8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1100" w:type="dxa"/>
            <w:vAlign w:val="bottom"/>
            <w:tcBorders>
              <w:right w:val="single" w:sz="8" w:color="0000FF"/>
            </w:tcBorders>
            <w:shd w:val="clear" w:color="auto" w:fill="0000FF"/>
          </w:tcPr>
          <w:p>
            <w:pPr>
              <w:spacing w:after="0" w:line="20" w:lineRule="exact"/>
              <w:rPr>
                <w:sz w:val="1"/>
                <w:szCs w:val="1"/>
                <w:color w:val="auto"/>
              </w:rPr>
            </w:pPr>
          </w:p>
        </w:tc>
        <w:tc>
          <w:tcPr>
            <w:tcW w:w="12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4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FF"/>
                <w:w w:val="93"/>
              </w:rPr>
              <w:t>2002.</w:t>
            </w:r>
          </w:p>
        </w:tc>
        <w:tc>
          <w:tcPr>
            <w:tcW w:w="6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Borders>
              <w:right w:val="single" w:sz="8" w:color="0000EE"/>
            </w:tcBorders>
          </w:tcPr>
          <w:p>
            <w:pPr>
              <w:spacing w:after="0" w:line="20" w:lineRule="exact"/>
              <w:rPr>
                <w:sz w:val="1"/>
                <w:szCs w:val="1"/>
                <w:color w:val="auto"/>
              </w:rPr>
            </w:pPr>
          </w:p>
        </w:tc>
        <w:tc>
          <w:tcPr>
            <w:tcW w:w="420" w:type="dxa"/>
            <w:vAlign w:val="bottom"/>
            <w:tcBorders>
              <w:right w:val="single" w:sz="8" w:color="0000EE"/>
            </w:tcBorders>
            <w:shd w:val="clear" w:color="auto" w:fill="0000FF"/>
          </w:tcPr>
          <w:p>
            <w:pPr>
              <w:spacing w:after="0" w:line="20" w:lineRule="exact"/>
              <w:rPr>
                <w:sz w:val="1"/>
                <w:szCs w:val="1"/>
                <w:color w:val="auto"/>
              </w:rPr>
            </w:pPr>
          </w:p>
        </w:tc>
        <w:tc>
          <w:tcPr>
            <w:tcW w:w="5180" w:type="dxa"/>
            <w:vAlign w:val="bottom"/>
            <w:gridSpan w:val="11"/>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920" w:type="dxa"/>
            <w:vAlign w:val="bottom"/>
          </w:tcPr>
          <w:p>
            <w:pPr>
              <w:jc w:val="center"/>
              <w:ind w:right="193"/>
              <w:spacing w:after="0"/>
              <w:rPr>
                <w:sz w:val="20"/>
                <w:szCs w:val="20"/>
                <w:color w:val="auto"/>
              </w:rPr>
            </w:pPr>
            <w:r>
              <w:rPr>
                <w:rFonts w:ascii="Times New Roman" w:cs="Times New Roman" w:eastAsia="Times New Roman" w:hAnsi="Times New Roman"/>
                <w:sz w:val="18"/>
                <w:szCs w:val="18"/>
                <w:color w:val="auto"/>
                <w:w w:val="99"/>
              </w:rPr>
              <w:t>101.INS</w:t>
            </w:r>
          </w:p>
        </w:tc>
        <w:tc>
          <w:tcPr>
            <w:tcW w:w="56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Instance Document-the Instance Document does not appear in</w:t>
            </w:r>
          </w:p>
        </w:tc>
        <w:tc>
          <w:tcPr>
            <w:tcW w:w="8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6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the Interactive Data File because XBRL tags are embedded within the Inline</w:t>
            </w:r>
          </w:p>
        </w:tc>
        <w:tc>
          <w:tcPr>
            <w:tcW w:w="8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20" w:type="dxa"/>
            <w:vAlign w:val="bottom"/>
          </w:tcPr>
          <w:p>
            <w:pPr>
              <w:spacing w:after="0"/>
              <w:rPr>
                <w:sz w:val="20"/>
                <w:szCs w:val="20"/>
                <w:color w:val="auto"/>
              </w:rPr>
            </w:pPr>
          </w:p>
        </w:tc>
        <w:tc>
          <w:tcPr>
            <w:tcW w:w="56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XBRL document.</w:t>
            </w:r>
          </w:p>
        </w:tc>
        <w:tc>
          <w:tcPr>
            <w:tcW w:w="8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920" w:type="dxa"/>
            <w:vAlign w:val="bottom"/>
          </w:tcPr>
          <w:p>
            <w:pPr>
              <w:jc w:val="center"/>
              <w:ind w:right="173"/>
              <w:spacing w:after="0"/>
              <w:rPr>
                <w:sz w:val="20"/>
                <w:szCs w:val="20"/>
                <w:color w:val="auto"/>
              </w:rPr>
            </w:pPr>
            <w:r>
              <w:rPr>
                <w:rFonts w:ascii="Times New Roman" w:cs="Times New Roman" w:eastAsia="Times New Roman" w:hAnsi="Times New Roman"/>
                <w:sz w:val="18"/>
                <w:szCs w:val="18"/>
                <w:color w:val="auto"/>
                <w:w w:val="99"/>
              </w:rPr>
              <w:t>101.SCH</w:t>
            </w:r>
          </w:p>
        </w:tc>
        <w:tc>
          <w:tcPr>
            <w:tcW w:w="56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8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1040" w:right="4520" w:hanging="708"/>
        <w:spacing w:after="0" w:line="282" w:lineRule="auto"/>
        <w:tabs>
          <w:tab w:leader="none" w:pos="10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with applicable taxonomy extension information contained in Exhibits 101).</w:t>
      </w:r>
    </w:p>
    <w:p>
      <w:pPr>
        <w:spacing w:after="0" w:line="134" w:lineRule="exact"/>
        <w:rPr>
          <w:rFonts w:ascii="Times New Roman" w:cs="Times New Roman" w:eastAsia="Times New Roman" w:hAnsi="Times New Roman"/>
          <w:sz w:val="18"/>
          <w:szCs w:val="18"/>
          <w:color w:val="auto"/>
        </w:rPr>
      </w:pPr>
    </w:p>
    <w:p>
      <w:pPr>
        <w:jc w:val="both"/>
        <w:ind w:firstLine="8"/>
        <w:spacing w:after="0" w:line="261" w:lineRule="auto"/>
        <w:tabs>
          <w:tab w:leader="none" w:pos="1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attached as Exhibit 32.1 and 32.2 that accompany this Quarterly Report on Form 10-Q are deemed furnished and not filed with the Securities and Exchange Commission and are not to be incorporated by reference into any filing of the Registrant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4"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-719455</wp:posOffset>
            </wp:positionV>
            <wp:extent cx="95123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9">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16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346" w:right="51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60" w:type="dxa"/>
            <w:vAlign w:val="bottom"/>
          </w:tcPr>
          <w:p>
            <w:pPr>
              <w:spacing w:after="0"/>
              <w:rPr>
                <w:sz w:val="20"/>
                <w:szCs w:val="20"/>
                <w:color w:val="auto"/>
              </w:rPr>
            </w:pPr>
          </w:p>
        </w:tc>
        <w:tc>
          <w:tcPr>
            <w:tcW w:w="7780" w:type="dxa"/>
            <w:vAlign w:val="bottom"/>
            <w:gridSpan w:val="2"/>
          </w:tcPr>
          <w:p>
            <w:pPr>
              <w:ind w:left="2180"/>
              <w:spacing w:after="0"/>
              <w:rPr>
                <w:sz w:val="20"/>
                <w:szCs w:val="20"/>
                <w:color w:val="auto"/>
              </w:rPr>
            </w:pPr>
            <w:r>
              <w:rPr>
                <w:rFonts w:ascii="Times New Roman" w:cs="Times New Roman" w:eastAsia="Times New Roman" w:hAnsi="Times New Roman"/>
                <w:sz w:val="18"/>
                <w:szCs w:val="18"/>
                <w:b w:val="1"/>
                <w:bCs w:val="1"/>
                <w:color w:val="auto"/>
              </w:rPr>
              <w:t>PMV Pharmaceuticals, Inc.</w:t>
            </w:r>
          </w:p>
        </w:tc>
      </w:tr>
      <w:tr>
        <w:trPr>
          <w:trHeight w:val="432"/>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Date: May 9, 2025</w:t>
            </w:r>
          </w:p>
        </w:tc>
        <w:tc>
          <w:tcPr>
            <w:tcW w:w="2620" w:type="dxa"/>
            <w:vAlign w:val="bottom"/>
          </w:tcPr>
          <w:p>
            <w:pPr>
              <w:ind w:left="2180"/>
              <w:spacing w:after="0"/>
              <w:rPr>
                <w:sz w:val="20"/>
                <w:szCs w:val="20"/>
                <w:color w:val="auto"/>
              </w:rPr>
            </w:pPr>
            <w:r>
              <w:rPr>
                <w:rFonts w:ascii="Times New Roman" w:cs="Times New Roman" w:eastAsia="Times New Roman" w:hAnsi="Times New Roman"/>
                <w:sz w:val="18"/>
                <w:szCs w:val="18"/>
                <w:color w:val="auto"/>
              </w:rPr>
              <w:t>By:</w:t>
            </w:r>
          </w:p>
        </w:tc>
        <w:tc>
          <w:tcPr>
            <w:tcW w:w="5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David H. Mack</w:t>
            </w:r>
          </w:p>
        </w:tc>
      </w:tr>
      <w:tr>
        <w:trPr>
          <w:trHeight w:val="191"/>
        </w:trPr>
        <w:tc>
          <w:tcPr>
            <w:tcW w:w="346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51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David H. Mack, Ph.D.</w:t>
            </w:r>
          </w:p>
        </w:tc>
      </w:tr>
      <w:tr>
        <w:trPr>
          <w:trHeight w:val="216"/>
        </w:trPr>
        <w:tc>
          <w:tcPr>
            <w:tcW w:w="34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5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President, Chief Executive Officer, and Director</w:t>
            </w:r>
          </w:p>
        </w:tc>
      </w:tr>
      <w:tr>
        <w:trPr>
          <w:trHeight w:val="234"/>
        </w:trPr>
        <w:tc>
          <w:tcPr>
            <w:tcW w:w="346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5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32"/>
        </w:trPr>
        <w:tc>
          <w:tcPr>
            <w:tcW w:w="3460" w:type="dxa"/>
            <w:vAlign w:val="bottom"/>
          </w:tcPr>
          <w:p>
            <w:pPr>
              <w:spacing w:after="0"/>
              <w:rPr>
                <w:sz w:val="24"/>
                <w:szCs w:val="24"/>
                <w:color w:val="auto"/>
              </w:rPr>
            </w:pPr>
          </w:p>
        </w:tc>
        <w:tc>
          <w:tcPr>
            <w:tcW w:w="7780" w:type="dxa"/>
            <w:vAlign w:val="bottom"/>
            <w:gridSpan w:val="2"/>
          </w:tcPr>
          <w:p>
            <w:pPr>
              <w:ind w:left="2180"/>
              <w:spacing w:after="0"/>
              <w:rPr>
                <w:sz w:val="20"/>
                <w:szCs w:val="20"/>
                <w:color w:val="auto"/>
              </w:rPr>
            </w:pPr>
            <w:r>
              <w:rPr>
                <w:rFonts w:ascii="Times New Roman" w:cs="Times New Roman" w:eastAsia="Times New Roman" w:hAnsi="Times New Roman"/>
                <w:sz w:val="18"/>
                <w:szCs w:val="18"/>
                <w:b w:val="1"/>
                <w:bCs w:val="1"/>
                <w:color w:val="auto"/>
              </w:rPr>
              <w:t>PMV Pharmaceuticals, Inc.</w:t>
            </w:r>
          </w:p>
        </w:tc>
      </w:tr>
      <w:tr>
        <w:trPr>
          <w:trHeight w:val="432"/>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Date: May 9, 2025</w:t>
            </w:r>
          </w:p>
        </w:tc>
        <w:tc>
          <w:tcPr>
            <w:tcW w:w="2620" w:type="dxa"/>
            <w:vAlign w:val="bottom"/>
          </w:tcPr>
          <w:p>
            <w:pPr>
              <w:ind w:left="2180"/>
              <w:spacing w:after="0"/>
              <w:rPr>
                <w:sz w:val="20"/>
                <w:szCs w:val="20"/>
                <w:color w:val="auto"/>
              </w:rPr>
            </w:pPr>
            <w:r>
              <w:rPr>
                <w:rFonts w:ascii="Times New Roman" w:cs="Times New Roman" w:eastAsia="Times New Roman" w:hAnsi="Times New Roman"/>
                <w:sz w:val="18"/>
                <w:szCs w:val="18"/>
                <w:color w:val="auto"/>
              </w:rPr>
              <w:t>By:</w:t>
            </w:r>
          </w:p>
        </w:tc>
        <w:tc>
          <w:tcPr>
            <w:tcW w:w="5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Michael Carulli</w:t>
            </w:r>
          </w:p>
        </w:tc>
      </w:tr>
      <w:tr>
        <w:trPr>
          <w:trHeight w:val="191"/>
        </w:trPr>
        <w:tc>
          <w:tcPr>
            <w:tcW w:w="346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51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Michael Carulli</w:t>
            </w:r>
          </w:p>
        </w:tc>
      </w:tr>
      <w:tr>
        <w:trPr>
          <w:trHeight w:val="216"/>
        </w:trPr>
        <w:tc>
          <w:tcPr>
            <w:tcW w:w="34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5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r>
      <w:tr>
        <w:trPr>
          <w:trHeight w:val="234"/>
        </w:trPr>
        <w:tc>
          <w:tcPr>
            <w:tcW w:w="346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5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621"/>
        </w:trPr>
        <w:tc>
          <w:tcPr>
            <w:tcW w:w="3460" w:type="dxa"/>
            <w:vAlign w:val="bottom"/>
          </w:tcPr>
          <w:p>
            <w:pPr>
              <w:spacing w:after="0"/>
              <w:rPr>
                <w:sz w:val="24"/>
                <w:szCs w:val="24"/>
                <w:color w:val="auto"/>
              </w:rPr>
            </w:pPr>
          </w:p>
        </w:tc>
        <w:tc>
          <w:tcPr>
            <w:tcW w:w="262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27</w:t>
            </w:r>
          </w:p>
        </w:tc>
        <w:tc>
          <w:tcPr>
            <w:tcW w:w="5160" w:type="dxa"/>
            <w:vAlign w:val="bottom"/>
          </w:tcPr>
          <w:p>
            <w:pPr>
              <w:spacing w:after="0"/>
              <w:rPr>
                <w:sz w:val="24"/>
                <w:szCs w:val="24"/>
                <w:color w:val="auto"/>
              </w:rPr>
            </w:pPr>
          </w:p>
        </w:tc>
      </w:tr>
      <w:tr>
        <w:trPr>
          <w:trHeight w:val="763"/>
        </w:trPr>
        <w:tc>
          <w:tcPr>
            <w:tcW w:w="3460" w:type="dxa"/>
            <w:vAlign w:val="bottom"/>
            <w:tcBorders>
              <w:bottom w:val="single" w:sz="8" w:color="9A9A9A"/>
            </w:tcBorders>
          </w:tcPr>
          <w:p>
            <w:pPr>
              <w:spacing w:after="0"/>
              <w:rPr>
                <w:sz w:val="24"/>
                <w:szCs w:val="24"/>
                <w:color w:val="auto"/>
              </w:rPr>
            </w:pPr>
          </w:p>
        </w:tc>
        <w:tc>
          <w:tcPr>
            <w:tcW w:w="2620" w:type="dxa"/>
            <w:vAlign w:val="bottom"/>
            <w:tcBorders>
              <w:bottom w:val="single" w:sz="8" w:color="9A9A9A"/>
            </w:tcBorders>
          </w:tcPr>
          <w:p>
            <w:pPr>
              <w:spacing w:after="0"/>
              <w:rPr>
                <w:sz w:val="24"/>
                <w:szCs w:val="24"/>
                <w:color w:val="auto"/>
              </w:rPr>
            </w:pPr>
          </w:p>
        </w:tc>
        <w:tc>
          <w:tcPr>
            <w:tcW w:w="5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46" w:right="339" w:bottom="1440" w:gutter="0" w:footer="0" w:header="0"/>
        </w:sectPr>
      </w:pPr>
    </w:p>
    <w:bookmarkStart w:id="31" w:name="page32"/>
    <w:bookmarkEnd w:id="31"/>
    <w:p>
      <w:pPr>
        <w:ind w:left="10320"/>
        <w:spacing w:after="0"/>
        <w:rPr>
          <w:sz w:val="20"/>
          <w:szCs w:val="20"/>
          <w:color w:val="auto"/>
        </w:rPr>
      </w:pPr>
      <w:r>
        <w:rPr>
          <w:rFonts w:ascii="Times New Roman" w:cs="Times New Roman" w:eastAsia="Times New Roman" w:hAnsi="Times New Roman"/>
          <w:sz w:val="17"/>
          <w:szCs w:val="17"/>
          <w:b w:val="1"/>
          <w:bCs w:val="1"/>
          <w:color w:val="auto"/>
        </w:rPr>
        <w:t>Exhibit 10.1</w:t>
      </w:r>
    </w:p>
    <w:p>
      <w:pPr>
        <w:spacing w:after="0" w:line="252"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22"/>
          <w:szCs w:val="22"/>
          <w:b w:val="1"/>
          <w:bCs w:val="1"/>
          <w:i w:val="1"/>
          <w:iCs w:val="1"/>
          <w:color w:val="auto"/>
        </w:rPr>
        <w:t>Reviewed &amp; Updated by PMV Board as of:</w:t>
      </w:r>
    </w:p>
    <w:p>
      <w:pPr>
        <w:spacing w:after="0" w:line="20"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22"/>
          <w:szCs w:val="22"/>
          <w:b w:val="1"/>
          <w:bCs w:val="1"/>
          <w:i w:val="1"/>
          <w:iCs w:val="1"/>
          <w:color w:val="auto"/>
        </w:rPr>
        <w:t>April 21, 2025 (“Updated Effective Date”)</w:t>
      </w:r>
    </w:p>
    <w:p>
      <w:pPr>
        <w:spacing w:after="0" w:line="1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PMV PHARMACEUTICALS, INC.</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OUTSIDE DIRECTOR COMPENSATION POLICY</w:t>
      </w:r>
    </w:p>
    <w:p>
      <w:pPr>
        <w:spacing w:after="0" w:line="206" w:lineRule="exact"/>
        <w:rPr>
          <w:sz w:val="20"/>
          <w:szCs w:val="20"/>
          <w:color w:val="auto"/>
        </w:rPr>
      </w:pPr>
    </w:p>
    <w:p>
      <w:pPr>
        <w:jc w:val="both"/>
        <w:ind w:left="120" w:right="120" w:firstLine="747"/>
        <w:spacing w:after="0" w:line="247" w:lineRule="auto"/>
        <w:rPr>
          <w:sz w:val="20"/>
          <w:szCs w:val="20"/>
          <w:color w:val="auto"/>
        </w:rPr>
      </w:pPr>
      <w:r>
        <w:rPr>
          <w:rFonts w:ascii="Times New Roman" w:cs="Times New Roman" w:eastAsia="Times New Roman" w:hAnsi="Times New Roman"/>
          <w:sz w:val="21"/>
          <w:szCs w:val="21"/>
          <w:color w:val="auto"/>
        </w:rPr>
        <w:t>PMV Pharmaceuticals, Inc. (the “</w:t>
      </w:r>
      <w:r>
        <w:rPr>
          <w:rFonts w:ascii="Times New Roman" w:cs="Times New Roman" w:eastAsia="Times New Roman" w:hAnsi="Times New Roman"/>
          <w:sz w:val="21"/>
          <w:szCs w:val="21"/>
          <w:b w:val="1"/>
          <w:bCs w:val="1"/>
          <w:color w:val="auto"/>
        </w:rPr>
        <w:t>Company</w:t>
      </w:r>
      <w:r>
        <w:rPr>
          <w:rFonts w:ascii="Times New Roman" w:cs="Times New Roman" w:eastAsia="Times New Roman" w:hAnsi="Times New Roman"/>
          <w:sz w:val="21"/>
          <w:szCs w:val="21"/>
          <w:color w:val="auto"/>
        </w:rPr>
        <w:t>”) believes that providing cash and equity compensation to its members of the Board of Directors (the “</w:t>
      </w:r>
      <w:r>
        <w:rPr>
          <w:rFonts w:ascii="Times New Roman" w:cs="Times New Roman" w:eastAsia="Times New Roman" w:hAnsi="Times New Roman"/>
          <w:sz w:val="21"/>
          <w:szCs w:val="21"/>
          <w:b w:val="1"/>
          <w:bCs w:val="1"/>
          <w:color w:val="auto"/>
        </w:rPr>
        <w:t>Board</w:t>
      </w:r>
      <w:r>
        <w:rPr>
          <w:rFonts w:ascii="Times New Roman" w:cs="Times New Roman" w:eastAsia="Times New Roman" w:hAnsi="Times New Roman"/>
          <w:sz w:val="21"/>
          <w:szCs w:val="21"/>
          <w:color w:val="auto"/>
        </w:rPr>
        <w:t>,” and members of the Board, the “</w:t>
      </w:r>
      <w:r>
        <w:rPr>
          <w:rFonts w:ascii="Times New Roman" w:cs="Times New Roman" w:eastAsia="Times New Roman" w:hAnsi="Times New Roman"/>
          <w:sz w:val="21"/>
          <w:szCs w:val="21"/>
          <w:b w:val="1"/>
          <w:bCs w:val="1"/>
          <w:color w:val="auto"/>
        </w:rPr>
        <w:t>Directors</w:t>
      </w:r>
      <w:r>
        <w:rPr>
          <w:rFonts w:ascii="Times New Roman" w:cs="Times New Roman" w:eastAsia="Times New Roman" w:hAnsi="Times New Roman"/>
          <w:sz w:val="21"/>
          <w:szCs w:val="21"/>
          <w:color w:val="auto"/>
        </w:rPr>
        <w:t>”) represents an effective tool to attract, retain and reward Directors who are not employees of the Company (the “</w:t>
      </w:r>
      <w:r>
        <w:rPr>
          <w:rFonts w:ascii="Times New Roman" w:cs="Times New Roman" w:eastAsia="Times New Roman" w:hAnsi="Times New Roman"/>
          <w:sz w:val="21"/>
          <w:szCs w:val="21"/>
          <w:b w:val="1"/>
          <w:bCs w:val="1"/>
          <w:color w:val="auto"/>
        </w:rPr>
        <w:t>Outside Directors</w:t>
      </w:r>
      <w:r>
        <w:rPr>
          <w:rFonts w:ascii="Times New Roman" w:cs="Times New Roman" w:eastAsia="Times New Roman" w:hAnsi="Times New Roman"/>
          <w:sz w:val="21"/>
          <w:szCs w:val="21"/>
          <w:color w:val="auto"/>
        </w:rPr>
        <w:t>”). This Outside Director Compensation Policy (the “</w:t>
      </w:r>
      <w:r>
        <w:rPr>
          <w:rFonts w:ascii="Times New Roman" w:cs="Times New Roman" w:eastAsia="Times New Roman" w:hAnsi="Times New Roman"/>
          <w:sz w:val="21"/>
          <w:szCs w:val="21"/>
          <w:b w:val="1"/>
          <w:bCs w:val="1"/>
          <w:color w:val="auto"/>
        </w:rPr>
        <w:t>Policy</w:t>
      </w:r>
      <w:r>
        <w:rPr>
          <w:rFonts w:ascii="Times New Roman" w:cs="Times New Roman" w:eastAsia="Times New Roman" w:hAnsi="Times New Roman"/>
          <w:sz w:val="21"/>
          <w:szCs w:val="21"/>
          <w:color w:val="auto"/>
        </w:rPr>
        <w:t>”) is intended to formalize the Company’s policy regarding the compensation to its Outside Directors. Unless otherwise defined herein, capitalized terms used in this Policy will have the meaning given to such terms in the Company’s 2020 Equity Incentive Plan (the “</w:t>
      </w:r>
      <w:r>
        <w:rPr>
          <w:rFonts w:ascii="Times New Roman" w:cs="Times New Roman" w:eastAsia="Times New Roman" w:hAnsi="Times New Roman"/>
          <w:sz w:val="21"/>
          <w:szCs w:val="21"/>
          <w:b w:val="1"/>
          <w:bCs w:val="1"/>
          <w:color w:val="auto"/>
        </w:rPr>
        <w:t>Plan</w:t>
      </w:r>
      <w:r>
        <w:rPr>
          <w:rFonts w:ascii="Times New Roman" w:cs="Times New Roman" w:eastAsia="Times New Roman" w:hAnsi="Times New Roman"/>
          <w:sz w:val="21"/>
          <w:szCs w:val="21"/>
          <w:color w:val="auto"/>
        </w:rPr>
        <w:t>”), or if the Plan is no longer in place, the meaning given to such terms or any similar terms in the equity plan then in place. Each Outside Director will be solely responsible for any tax obligations incurred by such Outside Director as a result of the equity and cash payments such Outside Director receives under this Policy.</w:t>
      </w:r>
    </w:p>
    <w:p>
      <w:pPr>
        <w:spacing w:after="0" w:line="176" w:lineRule="exact"/>
        <w:rPr>
          <w:sz w:val="20"/>
          <w:szCs w:val="20"/>
          <w:color w:val="auto"/>
        </w:rPr>
      </w:pPr>
    </w:p>
    <w:p>
      <w:pPr>
        <w:jc w:val="both"/>
        <w:ind w:left="120" w:right="120" w:firstLine="747"/>
        <w:spacing w:after="0" w:line="244" w:lineRule="auto"/>
        <w:rPr>
          <w:sz w:val="20"/>
          <w:szCs w:val="20"/>
          <w:color w:val="auto"/>
        </w:rPr>
      </w:pPr>
      <w:r>
        <w:rPr>
          <w:rFonts w:ascii="Times New Roman" w:cs="Times New Roman" w:eastAsia="Times New Roman" w:hAnsi="Times New Roman"/>
          <w:sz w:val="22"/>
          <w:szCs w:val="22"/>
          <w:color w:val="auto"/>
        </w:rPr>
        <w:t>Subject to Section 6 of this Policy, this Policy will be effective as of the effective date of the first registration statement that is filed by the Company and declared effective pursuant to Section 12(b) of the Exchange Act, with respect to any class of the Company’s securities (the “</w:t>
      </w:r>
      <w:r>
        <w:rPr>
          <w:rFonts w:ascii="Times New Roman" w:cs="Times New Roman" w:eastAsia="Times New Roman" w:hAnsi="Times New Roman"/>
          <w:sz w:val="22"/>
          <w:szCs w:val="22"/>
          <w:b w:val="1"/>
          <w:bCs w:val="1"/>
          <w:color w:val="auto"/>
        </w:rPr>
        <w:t>Registration Statement</w:t>
      </w:r>
      <w:r>
        <w:rPr>
          <w:rFonts w:ascii="Times New Roman" w:cs="Times New Roman" w:eastAsia="Times New Roman" w:hAnsi="Times New Roman"/>
          <w:sz w:val="22"/>
          <w:szCs w:val="22"/>
          <w:color w:val="auto"/>
        </w:rPr>
        <w:t>”).</w:t>
      </w:r>
    </w:p>
    <w:p>
      <w:pPr>
        <w:spacing w:after="0" w:line="169" w:lineRule="exact"/>
        <w:rPr>
          <w:sz w:val="20"/>
          <w:szCs w:val="20"/>
          <w:color w:val="auto"/>
        </w:rPr>
      </w:pPr>
    </w:p>
    <w:p>
      <w:pPr>
        <w:ind w:left="860" w:hanging="373"/>
        <w:spacing w:after="0"/>
        <w:tabs>
          <w:tab w:leader="none" w:pos="860" w:val="left"/>
        </w:tabs>
        <w:numPr>
          <w:ilvl w:val="0"/>
          <w:numId w:val="1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w:t>
      </w:r>
      <w:r>
        <w:rPr>
          <w:rFonts w:ascii="Times New Roman" w:cs="Times New Roman" w:eastAsia="Times New Roman" w:hAnsi="Times New Roman"/>
          <w:sz w:val="14"/>
          <w:szCs w:val="14"/>
          <w:b w:val="1"/>
          <w:bCs w:val="1"/>
          <w:u w:val="single" w:color="auto"/>
          <w:color w:val="auto"/>
        </w:rPr>
        <w:t>ash</w:t>
      </w:r>
      <w:r>
        <w:rPr>
          <w:rFonts w:ascii="Times New Roman" w:cs="Times New Roman" w:eastAsia="Times New Roman" w:hAnsi="Times New Roman"/>
          <w:sz w:val="22"/>
          <w:szCs w:val="22"/>
          <w:b w:val="1"/>
          <w:bCs w:val="1"/>
          <w:u w:val="single" w:color="auto"/>
          <w:color w:val="auto"/>
        </w:rPr>
        <w:t xml:space="preserve"> C</w:t>
      </w:r>
      <w:r>
        <w:rPr>
          <w:rFonts w:ascii="Times New Roman" w:cs="Times New Roman" w:eastAsia="Times New Roman" w:hAnsi="Times New Roman"/>
          <w:sz w:val="14"/>
          <w:szCs w:val="14"/>
          <w:b w:val="1"/>
          <w:bCs w:val="1"/>
          <w:u w:val="single" w:color="auto"/>
          <w:color w:val="auto"/>
        </w:rPr>
        <w:t>ompensation</w:t>
      </w:r>
    </w:p>
    <w:p>
      <w:pPr>
        <w:spacing w:after="0" w:line="20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i w:val="1"/>
          <w:iCs w:val="1"/>
          <w:color w:val="auto"/>
        </w:rPr>
        <w:t>Annual Cash Retainer</w:t>
      </w:r>
    </w:p>
    <w:p>
      <w:pPr>
        <w:spacing w:after="0" w:line="210" w:lineRule="exact"/>
        <w:rPr>
          <w:sz w:val="20"/>
          <w:szCs w:val="20"/>
          <w:color w:val="auto"/>
        </w:rPr>
      </w:pPr>
    </w:p>
    <w:p>
      <w:pPr>
        <w:jc w:val="both"/>
        <w:ind w:left="120" w:right="140" w:firstLine="747"/>
        <w:spacing w:after="0" w:line="258" w:lineRule="auto"/>
        <w:rPr>
          <w:sz w:val="20"/>
          <w:szCs w:val="20"/>
          <w:color w:val="auto"/>
        </w:rPr>
      </w:pPr>
      <w:r>
        <w:rPr>
          <w:rFonts w:ascii="Times New Roman" w:cs="Times New Roman" w:eastAsia="Times New Roman" w:hAnsi="Times New Roman"/>
          <w:sz w:val="22"/>
          <w:szCs w:val="22"/>
          <w:color w:val="auto"/>
        </w:rPr>
        <w:t>Each Outside Director will be paid an annual cash retainer of $40,000. There are no per-meeting attendance fees for attending Board meetings. This cash compensation will be paid quarterly in arrears on a prorated basis.</w:t>
      </w:r>
    </w:p>
    <w:p>
      <w:pPr>
        <w:spacing w:after="0" w:line="15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i w:val="1"/>
          <w:iCs w:val="1"/>
          <w:color w:val="auto"/>
        </w:rPr>
        <w:t>Committee Annual Cash Retainer</w:t>
      </w:r>
    </w:p>
    <w:p>
      <w:pPr>
        <w:spacing w:after="0" w:line="210" w:lineRule="exact"/>
        <w:rPr>
          <w:sz w:val="20"/>
          <w:szCs w:val="20"/>
          <w:color w:val="auto"/>
        </w:rPr>
      </w:pPr>
    </w:p>
    <w:p>
      <w:pPr>
        <w:jc w:val="both"/>
        <w:ind w:left="120" w:right="120" w:firstLine="747"/>
        <w:spacing w:after="0" w:line="244" w:lineRule="auto"/>
        <w:rPr>
          <w:sz w:val="20"/>
          <w:szCs w:val="20"/>
          <w:color w:val="auto"/>
        </w:rPr>
      </w:pPr>
      <w:r>
        <w:rPr>
          <w:rFonts w:ascii="Times New Roman" w:cs="Times New Roman" w:eastAsia="Times New Roman" w:hAnsi="Times New Roman"/>
          <w:sz w:val="22"/>
          <w:szCs w:val="22"/>
          <w:color w:val="auto"/>
        </w:rPr>
        <w:t>Each Outside Director who serves as the chair of the Board, the lead Outside Director, or the chair or a member of a committee of the Board listed below will be eligible to earn additional annual cash fees (paid quarterly in arrears on a prorated basis) as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328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Chair of the Board</w:t>
            </w:r>
          </w:p>
        </w:tc>
        <w:tc>
          <w:tcPr>
            <w:tcW w:w="1580" w:type="dxa"/>
            <w:vAlign w:val="bottom"/>
          </w:tcPr>
          <w:p>
            <w:pPr>
              <w:spacing w:after="0"/>
              <w:rPr>
                <w:sz w:val="24"/>
                <w:szCs w:val="24"/>
                <w:color w:val="auto"/>
              </w:rPr>
            </w:pPr>
          </w:p>
        </w:tc>
        <w:tc>
          <w:tcPr>
            <w:tcW w:w="234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$35,000</w:t>
            </w:r>
          </w:p>
        </w:tc>
        <w:tc>
          <w:tcPr>
            <w:tcW w:w="4040" w:type="dxa"/>
            <w:vAlign w:val="bottom"/>
          </w:tcPr>
          <w:p>
            <w:pPr>
              <w:spacing w:after="0"/>
              <w:rPr>
                <w:sz w:val="24"/>
                <w:szCs w:val="24"/>
                <w:color w:val="auto"/>
              </w:rPr>
            </w:pPr>
          </w:p>
        </w:tc>
      </w:tr>
      <w:tr>
        <w:trPr>
          <w:trHeight w:val="459"/>
        </w:trPr>
        <w:tc>
          <w:tcPr>
            <w:tcW w:w="328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Chair of Audit Committee:</w:t>
            </w:r>
          </w:p>
        </w:tc>
        <w:tc>
          <w:tcPr>
            <w:tcW w:w="1580" w:type="dxa"/>
            <w:vAlign w:val="bottom"/>
          </w:tcPr>
          <w:p>
            <w:pPr>
              <w:spacing w:after="0"/>
              <w:rPr>
                <w:sz w:val="24"/>
                <w:szCs w:val="24"/>
                <w:color w:val="auto"/>
              </w:rPr>
            </w:pPr>
          </w:p>
        </w:tc>
        <w:tc>
          <w:tcPr>
            <w:tcW w:w="2340" w:type="dxa"/>
            <w:vAlign w:val="bottom"/>
          </w:tcPr>
          <w:p>
            <w:pPr>
              <w:jc w:val="right"/>
              <w:ind w:right="452"/>
              <w:spacing w:after="0"/>
              <w:rPr>
                <w:sz w:val="20"/>
                <w:szCs w:val="20"/>
                <w:color w:val="auto"/>
              </w:rPr>
            </w:pPr>
            <w:r>
              <w:rPr>
                <w:rFonts w:ascii="Times New Roman" w:cs="Times New Roman" w:eastAsia="Times New Roman" w:hAnsi="Times New Roman"/>
                <w:sz w:val="22"/>
                <w:szCs w:val="22"/>
                <w:color w:val="auto"/>
              </w:rPr>
              <w:t>$15,000</w:t>
            </w:r>
          </w:p>
        </w:tc>
        <w:tc>
          <w:tcPr>
            <w:tcW w:w="4040" w:type="dxa"/>
            <w:vAlign w:val="bottom"/>
          </w:tcPr>
          <w:p>
            <w:pPr>
              <w:spacing w:after="0"/>
              <w:rPr>
                <w:sz w:val="24"/>
                <w:szCs w:val="24"/>
                <w:color w:val="auto"/>
              </w:rPr>
            </w:pPr>
          </w:p>
        </w:tc>
      </w:tr>
      <w:tr>
        <w:trPr>
          <w:trHeight w:val="459"/>
        </w:trPr>
        <w:tc>
          <w:tcPr>
            <w:tcW w:w="4860" w:type="dxa"/>
            <w:vAlign w:val="bottom"/>
            <w:gridSpan w:val="2"/>
          </w:tcPr>
          <w:p>
            <w:pPr>
              <w:ind w:left="860"/>
              <w:spacing w:after="0"/>
              <w:rPr>
                <w:sz w:val="20"/>
                <w:szCs w:val="20"/>
                <w:color w:val="auto"/>
              </w:rPr>
            </w:pPr>
            <w:r>
              <w:rPr>
                <w:rFonts w:ascii="Times New Roman" w:cs="Times New Roman" w:eastAsia="Times New Roman" w:hAnsi="Times New Roman"/>
                <w:sz w:val="22"/>
                <w:szCs w:val="22"/>
                <w:color w:val="auto"/>
              </w:rPr>
              <w:t>Member of Audit Committee:</w:t>
            </w:r>
          </w:p>
        </w:tc>
        <w:tc>
          <w:tcPr>
            <w:tcW w:w="234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$7,500</w:t>
            </w:r>
          </w:p>
        </w:tc>
        <w:tc>
          <w:tcPr>
            <w:tcW w:w="4040" w:type="dxa"/>
            <w:vAlign w:val="bottom"/>
          </w:tcPr>
          <w:p>
            <w:pPr>
              <w:spacing w:after="0"/>
              <w:rPr>
                <w:sz w:val="24"/>
                <w:szCs w:val="24"/>
                <w:color w:val="auto"/>
              </w:rPr>
            </w:pPr>
          </w:p>
        </w:tc>
      </w:tr>
      <w:tr>
        <w:trPr>
          <w:trHeight w:val="459"/>
        </w:trPr>
        <w:tc>
          <w:tcPr>
            <w:tcW w:w="4860" w:type="dxa"/>
            <w:vAlign w:val="bottom"/>
            <w:gridSpan w:val="2"/>
          </w:tcPr>
          <w:p>
            <w:pPr>
              <w:ind w:left="860"/>
              <w:spacing w:after="0"/>
              <w:rPr>
                <w:sz w:val="20"/>
                <w:szCs w:val="20"/>
                <w:color w:val="auto"/>
              </w:rPr>
            </w:pPr>
            <w:r>
              <w:rPr>
                <w:rFonts w:ascii="Times New Roman" w:cs="Times New Roman" w:eastAsia="Times New Roman" w:hAnsi="Times New Roman"/>
                <w:sz w:val="22"/>
                <w:szCs w:val="22"/>
                <w:color w:val="auto"/>
              </w:rPr>
              <w:t>Chair of Compensation Committee:</w:t>
            </w:r>
          </w:p>
        </w:tc>
        <w:tc>
          <w:tcPr>
            <w:tcW w:w="2340" w:type="dxa"/>
            <w:vAlign w:val="bottom"/>
          </w:tcPr>
          <w:p>
            <w:pPr>
              <w:jc w:val="right"/>
              <w:ind w:right="552"/>
              <w:spacing w:after="0"/>
              <w:rPr>
                <w:sz w:val="20"/>
                <w:szCs w:val="20"/>
                <w:color w:val="auto"/>
              </w:rPr>
            </w:pPr>
            <w:r>
              <w:rPr>
                <w:rFonts w:ascii="Times New Roman" w:cs="Times New Roman" w:eastAsia="Times New Roman" w:hAnsi="Times New Roman"/>
                <w:sz w:val="22"/>
                <w:szCs w:val="22"/>
                <w:color w:val="auto"/>
              </w:rPr>
              <w:t>$10,000</w:t>
            </w:r>
          </w:p>
        </w:tc>
        <w:tc>
          <w:tcPr>
            <w:tcW w:w="4040" w:type="dxa"/>
            <w:vAlign w:val="bottom"/>
          </w:tcPr>
          <w:p>
            <w:pPr>
              <w:spacing w:after="0"/>
              <w:rPr>
                <w:sz w:val="24"/>
                <w:szCs w:val="24"/>
                <w:color w:val="auto"/>
              </w:rPr>
            </w:pPr>
          </w:p>
        </w:tc>
      </w:tr>
      <w:tr>
        <w:trPr>
          <w:trHeight w:val="420"/>
        </w:trPr>
        <w:tc>
          <w:tcPr>
            <w:tcW w:w="4860" w:type="dxa"/>
            <w:vAlign w:val="bottom"/>
            <w:gridSpan w:val="2"/>
          </w:tcPr>
          <w:p>
            <w:pPr>
              <w:ind w:left="860"/>
              <w:spacing w:after="0"/>
              <w:rPr>
                <w:sz w:val="20"/>
                <w:szCs w:val="20"/>
                <w:color w:val="auto"/>
              </w:rPr>
            </w:pPr>
            <w:r>
              <w:rPr>
                <w:rFonts w:ascii="Times New Roman" w:cs="Times New Roman" w:eastAsia="Times New Roman" w:hAnsi="Times New Roman"/>
                <w:sz w:val="22"/>
                <w:szCs w:val="22"/>
                <w:color w:val="auto"/>
              </w:rPr>
              <w:t>Member of Compensation Committee:</w:t>
            </w:r>
          </w:p>
        </w:tc>
        <w:tc>
          <w:tcPr>
            <w:tcW w:w="2340" w:type="dxa"/>
            <w:vAlign w:val="bottom"/>
          </w:tcPr>
          <w:p>
            <w:pPr>
              <w:jc w:val="right"/>
              <w:ind w:right="992"/>
              <w:spacing w:after="0"/>
              <w:rPr>
                <w:sz w:val="20"/>
                <w:szCs w:val="20"/>
                <w:color w:val="auto"/>
              </w:rPr>
            </w:pPr>
            <w:r>
              <w:rPr>
                <w:rFonts w:ascii="Times New Roman" w:cs="Times New Roman" w:eastAsia="Times New Roman" w:hAnsi="Times New Roman"/>
                <w:sz w:val="22"/>
                <w:szCs w:val="22"/>
                <w:color w:val="auto"/>
              </w:rPr>
              <w:t>$5,000</w:t>
            </w:r>
          </w:p>
        </w:tc>
        <w:tc>
          <w:tcPr>
            <w:tcW w:w="404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Chair of</w:t>
            </w:r>
          </w:p>
        </w:tc>
      </w:tr>
      <w:tr>
        <w:trPr>
          <w:trHeight w:val="243"/>
        </w:trPr>
        <w:tc>
          <w:tcPr>
            <w:tcW w:w="4860" w:type="dxa"/>
            <w:vAlign w:val="bottom"/>
            <w:gridSpan w:val="2"/>
          </w:tcPr>
          <w:p>
            <w:pPr>
              <w:ind w:left="860"/>
              <w:spacing w:after="0" w:line="243" w:lineRule="exact"/>
              <w:rPr>
                <w:sz w:val="20"/>
                <w:szCs w:val="20"/>
                <w:color w:val="auto"/>
              </w:rPr>
            </w:pPr>
            <w:r>
              <w:rPr>
                <w:rFonts w:ascii="Times New Roman" w:cs="Times New Roman" w:eastAsia="Times New Roman" w:hAnsi="Times New Roman"/>
                <w:sz w:val="22"/>
                <w:szCs w:val="22"/>
                <w:color w:val="auto"/>
              </w:rPr>
              <w:t>Nominating and Governance Committee:</w:t>
            </w:r>
          </w:p>
        </w:tc>
        <w:tc>
          <w:tcPr>
            <w:tcW w:w="6380" w:type="dxa"/>
            <w:vAlign w:val="bottom"/>
            <w:gridSpan w:val="2"/>
          </w:tcPr>
          <w:p>
            <w:pPr>
              <w:ind w:left="420"/>
              <w:spacing w:after="0" w:line="243" w:lineRule="exact"/>
              <w:rPr>
                <w:sz w:val="20"/>
                <w:szCs w:val="20"/>
                <w:color w:val="auto"/>
              </w:rPr>
            </w:pPr>
            <w:r>
              <w:rPr>
                <w:rFonts w:ascii="Times New Roman" w:cs="Times New Roman" w:eastAsia="Times New Roman" w:hAnsi="Times New Roman"/>
                <w:sz w:val="22"/>
                <w:szCs w:val="22"/>
                <w:color w:val="auto"/>
              </w:rPr>
              <w:t>$8,000   Member of Nominating and</w:t>
            </w:r>
          </w:p>
        </w:tc>
      </w:tr>
      <w:tr>
        <w:trPr>
          <w:trHeight w:val="282"/>
        </w:trPr>
        <w:tc>
          <w:tcPr>
            <w:tcW w:w="328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Governance Committee:</w:t>
            </w:r>
          </w:p>
        </w:tc>
        <w:tc>
          <w:tcPr>
            <w:tcW w:w="158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$4,000</w:t>
            </w:r>
          </w:p>
        </w:tc>
        <w:tc>
          <w:tcPr>
            <w:tcW w:w="2340" w:type="dxa"/>
            <w:vAlign w:val="bottom"/>
          </w:tcPr>
          <w:p>
            <w:pPr>
              <w:spacing w:after="0"/>
              <w:rPr>
                <w:sz w:val="24"/>
                <w:szCs w:val="24"/>
                <w:color w:val="auto"/>
              </w:rPr>
            </w:pPr>
          </w:p>
        </w:tc>
        <w:tc>
          <w:tcPr>
            <w:tcW w:w="4040" w:type="dxa"/>
            <w:vAlign w:val="bottom"/>
          </w:tcPr>
          <w:p>
            <w:pPr>
              <w:spacing w:after="0"/>
              <w:rPr>
                <w:sz w:val="24"/>
                <w:szCs w:val="24"/>
                <w:color w:val="auto"/>
              </w:rPr>
            </w:pPr>
          </w:p>
        </w:tc>
      </w:tr>
      <w:tr>
        <w:trPr>
          <w:trHeight w:val="967"/>
        </w:trPr>
        <w:tc>
          <w:tcPr>
            <w:tcW w:w="328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2340" w:type="dxa"/>
            <w:vAlign w:val="bottom"/>
            <w:tcBorders>
              <w:bottom w:val="single" w:sz="8" w:color="9A9A9A"/>
            </w:tcBorders>
          </w:tcPr>
          <w:p>
            <w:pPr>
              <w:spacing w:after="0"/>
              <w:rPr>
                <w:sz w:val="24"/>
                <w:szCs w:val="24"/>
                <w:color w:val="auto"/>
              </w:rPr>
            </w:pPr>
          </w:p>
        </w:tc>
        <w:tc>
          <w:tcPr>
            <w:tcW w:w="4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2" w:name="page33"/>
    <w:bookmarkEnd w:id="32"/>
    <w:p>
      <w:pPr>
        <w:ind w:right="20" w:firstLine="747"/>
        <w:spacing w:after="0" w:line="258" w:lineRule="auto"/>
        <w:rPr>
          <w:sz w:val="20"/>
          <w:szCs w:val="20"/>
          <w:color w:val="auto"/>
        </w:rPr>
      </w:pPr>
      <w:r>
        <w:rPr>
          <w:rFonts w:ascii="Times New Roman" w:cs="Times New Roman" w:eastAsia="Times New Roman" w:hAnsi="Times New Roman"/>
          <w:sz w:val="22"/>
          <w:szCs w:val="22"/>
          <w:color w:val="auto"/>
        </w:rPr>
        <w:t>For clarity, each Outside Director who serves as the chair of a committee shall receive only the additional annual cash fee as the chair of the committee, and not the additional annual cash fee as a member of the committee.</w:t>
      </w:r>
    </w:p>
    <w:p>
      <w:pPr>
        <w:spacing w:after="0" w:line="154" w:lineRule="exact"/>
        <w:rPr>
          <w:sz w:val="20"/>
          <w:szCs w:val="20"/>
          <w:color w:val="auto"/>
        </w:rPr>
      </w:pPr>
    </w:p>
    <w:p>
      <w:pPr>
        <w:ind w:left="740" w:hanging="373"/>
        <w:spacing w:after="0"/>
        <w:tabs>
          <w:tab w:leader="none" w:pos="740" w:val="left"/>
        </w:tabs>
        <w:numPr>
          <w:ilvl w:val="0"/>
          <w:numId w:val="1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E</w:t>
      </w:r>
      <w:r>
        <w:rPr>
          <w:rFonts w:ascii="Times New Roman" w:cs="Times New Roman" w:eastAsia="Times New Roman" w:hAnsi="Times New Roman"/>
          <w:sz w:val="14"/>
          <w:szCs w:val="14"/>
          <w:b w:val="1"/>
          <w:bCs w:val="1"/>
          <w:u w:val="single" w:color="auto"/>
          <w:color w:val="auto"/>
        </w:rPr>
        <w:t>quity</w:t>
      </w:r>
      <w:r>
        <w:rPr>
          <w:rFonts w:ascii="Times New Roman" w:cs="Times New Roman" w:eastAsia="Times New Roman" w:hAnsi="Times New Roman"/>
          <w:sz w:val="22"/>
          <w:szCs w:val="22"/>
          <w:b w:val="1"/>
          <w:bCs w:val="1"/>
          <w:u w:val="single" w:color="auto"/>
          <w:color w:val="auto"/>
        </w:rPr>
        <w:t xml:space="preserve"> C</w:t>
      </w:r>
      <w:r>
        <w:rPr>
          <w:rFonts w:ascii="Times New Roman" w:cs="Times New Roman" w:eastAsia="Times New Roman" w:hAnsi="Times New Roman"/>
          <w:sz w:val="14"/>
          <w:szCs w:val="14"/>
          <w:b w:val="1"/>
          <w:bCs w:val="1"/>
          <w:u w:val="single" w:color="auto"/>
          <w:color w:val="auto"/>
        </w:rPr>
        <w:t>ompensation</w:t>
      </w:r>
    </w:p>
    <w:p>
      <w:pPr>
        <w:spacing w:after="0" w:line="210" w:lineRule="exact"/>
        <w:rPr>
          <w:sz w:val="20"/>
          <w:szCs w:val="20"/>
          <w:color w:val="auto"/>
        </w:rPr>
      </w:pPr>
    </w:p>
    <w:p>
      <w:pPr>
        <w:jc w:val="both"/>
        <w:ind w:firstLine="747"/>
        <w:spacing w:after="0" w:line="239" w:lineRule="auto"/>
        <w:rPr>
          <w:sz w:val="20"/>
          <w:szCs w:val="20"/>
          <w:color w:val="auto"/>
        </w:rPr>
      </w:pPr>
      <w:r>
        <w:rPr>
          <w:rFonts w:ascii="Times New Roman" w:cs="Times New Roman" w:eastAsia="Times New Roman" w:hAnsi="Times New Roman"/>
          <w:sz w:val="22"/>
          <w:szCs w:val="22"/>
          <w:color w:val="auto"/>
        </w:rPr>
        <w:t>Outside Directors will be eligible to receive all types of Awards (except Incentive Stock Options) under the Plan (or the applicable equity plan in place at the time of grant), including discretionary Awards not covered under this Policy. All grants of Awards to Outside Directors pursuant to Section 2 of this Policy will be automatic and nondiscretionary, except as otherwise provided herein, and will be made in accordance with the following provisions:</w:t>
      </w:r>
    </w:p>
    <w:p>
      <w:pPr>
        <w:spacing w:after="0" w:line="180"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22"/>
          <w:szCs w:val="22"/>
          <w:u w:val="single" w:color="auto"/>
          <w:color w:val="auto"/>
        </w:rPr>
        <w:t>No Discretion</w:t>
      </w:r>
      <w:r>
        <w:rPr>
          <w:rFonts w:ascii="Times New Roman" w:cs="Times New Roman" w:eastAsia="Times New Roman" w:hAnsi="Times New Roman"/>
          <w:sz w:val="22"/>
          <w:szCs w:val="22"/>
          <w:color w:val="auto"/>
        </w:rPr>
        <w:t>. No person will have any discretion to select which Outside Directors will be granted any Awards under this Policy or to determine the number of Shares to be covered by such Awards.</w:t>
      </w:r>
    </w:p>
    <w:p>
      <w:pPr>
        <w:spacing w:after="0" w:line="158"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(b)</w:t>
      </w:r>
      <w:r>
        <w:rPr>
          <w:rFonts w:ascii="Times New Roman" w:cs="Times New Roman" w:eastAsia="Times New Roman" w:hAnsi="Times New Roman"/>
          <w:sz w:val="22"/>
          <w:szCs w:val="22"/>
          <w:u w:val="single" w:color="auto"/>
          <w:color w:val="auto"/>
        </w:rPr>
        <w:t>Initial Award</w:t>
      </w:r>
      <w:r>
        <w:rPr>
          <w:rFonts w:ascii="Times New Roman" w:cs="Times New Roman" w:eastAsia="Times New Roman" w:hAnsi="Times New Roman"/>
          <w:sz w:val="22"/>
          <w:szCs w:val="22"/>
          <w:color w:val="auto"/>
        </w:rPr>
        <w:t>. Following the Updated Effective Date, each individual who becomes a newly appointed Outside Director will be granted an award of stock options (an “</w:t>
      </w:r>
      <w:r>
        <w:rPr>
          <w:rFonts w:ascii="Times New Roman" w:cs="Times New Roman" w:eastAsia="Times New Roman" w:hAnsi="Times New Roman"/>
          <w:sz w:val="22"/>
          <w:szCs w:val="22"/>
          <w:b w:val="1"/>
          <w:bCs w:val="1"/>
          <w:color w:val="auto"/>
        </w:rPr>
        <w:t>Initial Award</w:t>
      </w:r>
      <w:r>
        <w:rPr>
          <w:rFonts w:ascii="Times New Roman" w:cs="Times New Roman" w:eastAsia="Times New Roman" w:hAnsi="Times New Roman"/>
          <w:sz w:val="22"/>
          <w:szCs w:val="22"/>
          <w:color w:val="auto"/>
        </w:rPr>
        <w:t>”) covering 67,000 Shares (subject to adjustment for changes in capitalization under the Plan). The Initial Award will be made on the first trading date on or after the date on which such individual first becomes an Outside Director, whether through election by the stockholders of the Company or appointment by the Board to fill a vacancy. If an individual was a member of the Board and also an employee, becoming an Outside Director due to termination of employment will not entitle the Outside Director to an Initial Award.</w:t>
      </w:r>
    </w:p>
    <w:p>
      <w:pPr>
        <w:spacing w:after="0" w:line="181" w:lineRule="exact"/>
        <w:rPr>
          <w:sz w:val="20"/>
          <w:szCs w:val="20"/>
          <w:color w:val="auto"/>
        </w:rPr>
      </w:pPr>
    </w:p>
    <w:p>
      <w:pPr>
        <w:jc w:val="both"/>
        <w:ind w:firstLine="747"/>
        <w:spacing w:after="0" w:line="239" w:lineRule="auto"/>
        <w:rPr>
          <w:sz w:val="20"/>
          <w:szCs w:val="20"/>
          <w:color w:val="auto"/>
        </w:rPr>
      </w:pPr>
      <w:r>
        <w:rPr>
          <w:rFonts w:ascii="Times New Roman" w:cs="Times New Roman" w:eastAsia="Times New Roman" w:hAnsi="Times New Roman"/>
          <w:sz w:val="22"/>
          <w:szCs w:val="22"/>
          <w:color w:val="auto"/>
        </w:rPr>
        <w:t>Subject to Section 3 of this Policy, each Initial Award will vest in equal amounts on the same day of the month as the date the individual first becomes an Outside Director over the 36 months following the month during which the individual first becomes an Outside Director, subject to the Outside Director continuing to be a Service Provider through the applicable vesting date.</w:t>
      </w:r>
    </w:p>
    <w:p>
      <w:pPr>
        <w:spacing w:after="0" w:line="18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(c)</w:t>
      </w:r>
      <w:r>
        <w:rPr>
          <w:rFonts w:ascii="Times New Roman" w:cs="Times New Roman" w:eastAsia="Times New Roman" w:hAnsi="Times New Roman"/>
          <w:sz w:val="22"/>
          <w:szCs w:val="22"/>
          <w:u w:val="single" w:color="auto"/>
          <w:color w:val="auto"/>
        </w:rPr>
        <w:t>Annual Award</w:t>
      </w:r>
      <w:r>
        <w:rPr>
          <w:rFonts w:ascii="Times New Roman" w:cs="Times New Roman" w:eastAsia="Times New Roman" w:hAnsi="Times New Roman"/>
          <w:sz w:val="22"/>
          <w:szCs w:val="22"/>
          <w:color w:val="auto"/>
        </w:rPr>
        <w:t>. On the date of each annual meeting of the Company’s stockholders following the Updated Effective Date (each, an “</w:t>
      </w:r>
      <w:r>
        <w:rPr>
          <w:rFonts w:ascii="Times New Roman" w:cs="Times New Roman" w:eastAsia="Times New Roman" w:hAnsi="Times New Roman"/>
          <w:sz w:val="22"/>
          <w:szCs w:val="22"/>
          <w:b w:val="1"/>
          <w:bCs w:val="1"/>
          <w:color w:val="auto"/>
        </w:rPr>
        <w:t>Annual Meeting</w:t>
      </w:r>
      <w:r>
        <w:rPr>
          <w:rFonts w:ascii="Times New Roman" w:cs="Times New Roman" w:eastAsia="Times New Roman" w:hAnsi="Times New Roman"/>
          <w:sz w:val="22"/>
          <w:szCs w:val="22"/>
          <w:color w:val="auto"/>
        </w:rPr>
        <w:t>”), each Outside Director will be automatically granted an award of stock options (an “</w:t>
      </w:r>
      <w:r>
        <w:rPr>
          <w:rFonts w:ascii="Times New Roman" w:cs="Times New Roman" w:eastAsia="Times New Roman" w:hAnsi="Times New Roman"/>
          <w:sz w:val="22"/>
          <w:szCs w:val="22"/>
          <w:b w:val="1"/>
          <w:bCs w:val="1"/>
          <w:color w:val="auto"/>
        </w:rPr>
        <w:t>Annual Award</w:t>
      </w:r>
      <w:r>
        <w:rPr>
          <w:rFonts w:ascii="Times New Roman" w:cs="Times New Roman" w:eastAsia="Times New Roman" w:hAnsi="Times New Roman"/>
          <w:sz w:val="22"/>
          <w:szCs w:val="22"/>
          <w:color w:val="auto"/>
        </w:rPr>
        <w:t>”) covering 33,500 Shares (subject to adjustment for changes in capitalization under the Plan).</w:t>
      </w:r>
    </w:p>
    <w:p>
      <w:pPr>
        <w:spacing w:after="0" w:line="173" w:lineRule="exact"/>
        <w:rPr>
          <w:sz w:val="20"/>
          <w:szCs w:val="20"/>
          <w:color w:val="auto"/>
        </w:rPr>
      </w:pPr>
    </w:p>
    <w:p>
      <w:pPr>
        <w:jc w:val="both"/>
        <w:ind w:firstLine="747"/>
        <w:spacing w:after="0" w:line="239" w:lineRule="auto"/>
        <w:rPr>
          <w:sz w:val="20"/>
          <w:szCs w:val="20"/>
          <w:color w:val="auto"/>
        </w:rPr>
      </w:pPr>
      <w:r>
        <w:rPr>
          <w:rFonts w:ascii="Times New Roman" w:cs="Times New Roman" w:eastAsia="Times New Roman" w:hAnsi="Times New Roman"/>
          <w:sz w:val="22"/>
          <w:szCs w:val="22"/>
          <w:color w:val="auto"/>
        </w:rPr>
        <w:t>Subject to Section 3 of this Policy, each Annual Award will vest on the earlier of (i) the one- year anniversary of the date the Annual Award is granted or (ii) the day prior to the date of the Annual Meeting next following the date the Annual Award is granted, in each case, subject to the Outside Director continuing to be a Service Provider through the applicable vesting date.</w:t>
      </w:r>
    </w:p>
    <w:p>
      <w:pPr>
        <w:spacing w:after="0" w:line="176" w:lineRule="exact"/>
        <w:rPr>
          <w:sz w:val="20"/>
          <w:szCs w:val="20"/>
          <w:color w:val="auto"/>
        </w:rPr>
      </w:pPr>
    </w:p>
    <w:p>
      <w:pPr>
        <w:ind w:left="740" w:hanging="373"/>
        <w:spacing w:after="0"/>
        <w:tabs>
          <w:tab w:leader="none" w:pos="740" w:val="left"/>
        </w:tabs>
        <w:numPr>
          <w:ilvl w:val="0"/>
          <w:numId w:val="1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w:t>
      </w:r>
      <w:r>
        <w:rPr>
          <w:rFonts w:ascii="Times New Roman" w:cs="Times New Roman" w:eastAsia="Times New Roman" w:hAnsi="Times New Roman"/>
          <w:sz w:val="14"/>
          <w:szCs w:val="14"/>
          <w:b w:val="1"/>
          <w:bCs w:val="1"/>
          <w:u w:val="single" w:color="auto"/>
          <w:color w:val="auto"/>
        </w:rPr>
        <w:t>hange in</w:t>
      </w:r>
      <w:r>
        <w:rPr>
          <w:rFonts w:ascii="Times New Roman" w:cs="Times New Roman" w:eastAsia="Times New Roman" w:hAnsi="Times New Roman"/>
          <w:sz w:val="22"/>
          <w:szCs w:val="22"/>
          <w:b w:val="1"/>
          <w:bCs w:val="1"/>
          <w:u w:val="single" w:color="auto"/>
          <w:color w:val="auto"/>
        </w:rPr>
        <w:t xml:space="preserve"> C</w:t>
      </w:r>
      <w:r>
        <w:rPr>
          <w:rFonts w:ascii="Times New Roman" w:cs="Times New Roman" w:eastAsia="Times New Roman" w:hAnsi="Times New Roman"/>
          <w:sz w:val="14"/>
          <w:szCs w:val="14"/>
          <w:b w:val="1"/>
          <w:bCs w:val="1"/>
          <w:u w:val="single" w:color="auto"/>
          <w:color w:val="auto"/>
        </w:rPr>
        <w:t>ontrol</w:t>
      </w:r>
    </w:p>
    <w:p>
      <w:pPr>
        <w:spacing w:after="0" w:line="21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color w:val="auto"/>
        </w:rPr>
        <w:t>In the event of a Change in Control, each Outside Director outstanding Company equity awards will accelerate and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vest.</w:t>
      </w:r>
    </w:p>
    <w:p>
      <w:pPr>
        <w:spacing w:after="0" w:line="178" w:lineRule="exact"/>
        <w:rPr>
          <w:sz w:val="20"/>
          <w:szCs w:val="20"/>
          <w:color w:val="auto"/>
        </w:rPr>
      </w:pPr>
    </w:p>
    <w:p>
      <w:pPr>
        <w:ind w:left="740" w:hanging="373"/>
        <w:spacing w:after="0"/>
        <w:tabs>
          <w:tab w:leader="none" w:pos="740" w:val="left"/>
        </w:tabs>
        <w:numPr>
          <w:ilvl w:val="0"/>
          <w:numId w:val="1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T</w:t>
      </w:r>
      <w:r>
        <w:rPr>
          <w:rFonts w:ascii="Times New Roman" w:cs="Times New Roman" w:eastAsia="Times New Roman" w:hAnsi="Times New Roman"/>
          <w:sz w:val="14"/>
          <w:szCs w:val="14"/>
          <w:b w:val="1"/>
          <w:bCs w:val="1"/>
          <w:u w:val="single" w:color="auto"/>
          <w:color w:val="auto"/>
        </w:rPr>
        <w:t>ravel</w:t>
      </w:r>
      <w:r>
        <w:rPr>
          <w:rFonts w:ascii="Times New Roman" w:cs="Times New Roman" w:eastAsia="Times New Roman" w:hAnsi="Times New Roman"/>
          <w:sz w:val="22"/>
          <w:szCs w:val="22"/>
          <w:b w:val="1"/>
          <w:bCs w:val="1"/>
          <w:u w:val="single" w:color="auto"/>
          <w:color w:val="auto"/>
        </w:rPr>
        <w:t xml:space="preserve"> E</w:t>
      </w:r>
      <w:r>
        <w:rPr>
          <w:rFonts w:ascii="Times New Roman" w:cs="Times New Roman" w:eastAsia="Times New Roman" w:hAnsi="Times New Roman"/>
          <w:sz w:val="14"/>
          <w:szCs w:val="14"/>
          <w:b w:val="1"/>
          <w:bCs w:val="1"/>
          <w:u w:val="single" w:color="auto"/>
          <w:color w:val="auto"/>
        </w:rPr>
        <w:t>xpenses</w:t>
      </w:r>
    </w:p>
    <w:p>
      <w:pPr>
        <w:spacing w:after="0" w:line="210" w:lineRule="exact"/>
        <w:rPr>
          <w:sz w:val="20"/>
          <w:szCs w:val="20"/>
          <w:color w:val="auto"/>
        </w:rPr>
      </w:pPr>
    </w:p>
    <w:p>
      <w:pPr>
        <w:ind w:firstLine="747"/>
        <w:spacing w:after="0" w:line="258" w:lineRule="auto"/>
        <w:rPr>
          <w:sz w:val="20"/>
          <w:szCs w:val="20"/>
          <w:color w:val="auto"/>
        </w:rPr>
      </w:pPr>
      <w:r>
        <w:rPr>
          <w:rFonts w:ascii="Times New Roman" w:cs="Times New Roman" w:eastAsia="Times New Roman" w:hAnsi="Times New Roman"/>
          <w:sz w:val="22"/>
          <w:szCs w:val="22"/>
          <w:color w:val="auto"/>
        </w:rPr>
        <w:t>Each Outside Director’s reasonable, customary and documented travel expenses to Board or Board committee meetings will be reimbursed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585470</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40" w:top="1192" w:right="459" w:bottom="1440" w:gutter="0" w:footer="0" w:header="0"/>
        </w:sectPr>
      </w:pPr>
    </w:p>
    <w:bookmarkStart w:id="33" w:name="page34"/>
    <w:bookmarkEnd w:id="33"/>
    <w:p>
      <w:pPr>
        <w:ind w:left="740" w:hanging="373"/>
        <w:spacing w:after="0"/>
        <w:tabs>
          <w:tab w:leader="none" w:pos="740" w:val="left"/>
        </w:tabs>
        <w:numPr>
          <w:ilvl w:val="0"/>
          <w:numId w:val="1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w:t>
      </w:r>
      <w:r>
        <w:rPr>
          <w:rFonts w:ascii="Times New Roman" w:cs="Times New Roman" w:eastAsia="Times New Roman" w:hAnsi="Times New Roman"/>
          <w:sz w:val="14"/>
          <w:szCs w:val="14"/>
          <w:b w:val="1"/>
          <w:bCs w:val="1"/>
          <w:u w:val="single" w:color="auto"/>
          <w:color w:val="auto"/>
        </w:rPr>
        <w:t>dditional</w:t>
      </w:r>
      <w:r>
        <w:rPr>
          <w:rFonts w:ascii="Times New Roman" w:cs="Times New Roman" w:eastAsia="Times New Roman" w:hAnsi="Times New Roman"/>
          <w:sz w:val="22"/>
          <w:szCs w:val="22"/>
          <w:b w:val="1"/>
          <w:bCs w:val="1"/>
          <w:u w:val="single" w:color="auto"/>
          <w:color w:val="auto"/>
        </w:rPr>
        <w:t xml:space="preserve"> P</w:t>
      </w:r>
      <w:r>
        <w:rPr>
          <w:rFonts w:ascii="Times New Roman" w:cs="Times New Roman" w:eastAsia="Times New Roman" w:hAnsi="Times New Roman"/>
          <w:sz w:val="14"/>
          <w:szCs w:val="14"/>
          <w:b w:val="1"/>
          <w:bCs w:val="1"/>
          <w:u w:val="single" w:color="auto"/>
          <w:color w:val="auto"/>
        </w:rPr>
        <w:t>rovisions</w:t>
      </w:r>
    </w:p>
    <w:p>
      <w:pPr>
        <w:spacing w:after="0" w:line="21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All provisions of the Plan not inconsistent with this Policy will apply to Awards granted to Outside Directors.</w:t>
      </w:r>
    </w:p>
    <w:p>
      <w:pPr>
        <w:spacing w:after="0" w:line="202" w:lineRule="exact"/>
        <w:rPr>
          <w:sz w:val="20"/>
          <w:szCs w:val="20"/>
          <w:color w:val="auto"/>
        </w:rPr>
      </w:pPr>
    </w:p>
    <w:p>
      <w:pPr>
        <w:ind w:left="740" w:hanging="373"/>
        <w:spacing w:after="0"/>
        <w:tabs>
          <w:tab w:leader="none" w:pos="740" w:val="left"/>
        </w:tabs>
        <w:numPr>
          <w:ilvl w:val="0"/>
          <w:numId w:val="1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w:t>
      </w:r>
      <w:r>
        <w:rPr>
          <w:rFonts w:ascii="Times New Roman" w:cs="Times New Roman" w:eastAsia="Times New Roman" w:hAnsi="Times New Roman"/>
          <w:sz w:val="14"/>
          <w:szCs w:val="14"/>
          <w:b w:val="1"/>
          <w:bCs w:val="1"/>
          <w:u w:val="single" w:color="auto"/>
          <w:color w:val="auto"/>
        </w:rPr>
        <w:t>ection</w:t>
      </w:r>
      <w:r>
        <w:rPr>
          <w:rFonts w:ascii="Times New Roman" w:cs="Times New Roman" w:eastAsia="Times New Roman" w:hAnsi="Times New Roman"/>
          <w:sz w:val="22"/>
          <w:szCs w:val="22"/>
          <w:b w:val="1"/>
          <w:bCs w:val="1"/>
          <w:u w:val="single" w:color="auto"/>
          <w:color w:val="auto"/>
        </w:rPr>
        <w:t xml:space="preserve"> 409A</w:t>
      </w:r>
    </w:p>
    <w:p>
      <w:pPr>
        <w:spacing w:after="0" w:line="210" w:lineRule="exact"/>
        <w:rPr>
          <w:sz w:val="20"/>
          <w:szCs w:val="20"/>
          <w:color w:val="auto"/>
        </w:rPr>
      </w:pPr>
    </w:p>
    <w:p>
      <w:pPr>
        <w:jc w:val="both"/>
        <w:ind w:firstLine="747"/>
        <w:spacing w:after="0" w:line="234" w:lineRule="auto"/>
        <w:rPr>
          <w:sz w:val="20"/>
          <w:szCs w:val="20"/>
          <w:color w:val="auto"/>
        </w:rPr>
      </w:pPr>
      <w:r>
        <w:rPr>
          <w:rFonts w:ascii="Times New Roman" w:cs="Times New Roman" w:eastAsia="Times New Roman" w:hAnsi="Times New Roman"/>
          <w:sz w:val="22"/>
          <w:szCs w:val="22"/>
          <w:color w:val="auto"/>
        </w:rPr>
        <w:t>In no event will cash compensation or expense reimbursement payments under this Policy be paid after the later of (i) 15th day of the 3rd month following the end of the Company’s fiscal year in which the compensation is earned or expenses are incurred, as applicable, or (ii) 15th day of the 3rd month following the end of the calendar year in which the compensation is earned or expenses are incurred, as applicable, in compliance with the “short-term deferral” exception under Section 409A of the Internal Revenue Code of 1986, as amended, and the final regulations and guidance thereunder, as may be amended from time to time (together, “</w:t>
      </w:r>
      <w:r>
        <w:rPr>
          <w:rFonts w:ascii="Times New Roman" w:cs="Times New Roman" w:eastAsia="Times New Roman" w:hAnsi="Times New Roman"/>
          <w:sz w:val="22"/>
          <w:szCs w:val="22"/>
          <w:b w:val="1"/>
          <w:bCs w:val="1"/>
          <w:color w:val="auto"/>
        </w:rPr>
        <w:t>Section 409A</w:t>
      </w:r>
      <w:r>
        <w:rPr>
          <w:rFonts w:ascii="Times New Roman" w:cs="Times New Roman" w:eastAsia="Times New Roman" w:hAnsi="Times New Roman"/>
          <w:sz w:val="22"/>
          <w:szCs w:val="22"/>
          <w:color w:val="auto"/>
        </w:rPr>
        <w:t>”). It is the intent of this Policy that this Policy and all payments hereunder be exempt from or otherwise comply with the requirements of Section 409A so that none of the compensation to be provided hereunder will be subject to the additional tax imposed under Section 409A, and any ambiguities or ambiguous terms herein will be interpreted to be so exempt or comply. In no event will the Company reimburse an Outside Director for any taxes imposed or other costs incurred as a result of Section 409A.</w:t>
      </w:r>
    </w:p>
    <w:p>
      <w:pPr>
        <w:spacing w:after="0" w:line="175" w:lineRule="exact"/>
        <w:rPr>
          <w:sz w:val="20"/>
          <w:szCs w:val="20"/>
          <w:color w:val="auto"/>
        </w:rPr>
      </w:pPr>
    </w:p>
    <w:p>
      <w:pPr>
        <w:ind w:left="740" w:hanging="373"/>
        <w:spacing w:after="0"/>
        <w:tabs>
          <w:tab w:leader="none" w:pos="740" w:val="left"/>
        </w:tabs>
        <w:numPr>
          <w:ilvl w:val="0"/>
          <w:numId w:val="1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R</w:t>
      </w:r>
      <w:r>
        <w:rPr>
          <w:rFonts w:ascii="Times New Roman" w:cs="Times New Roman" w:eastAsia="Times New Roman" w:hAnsi="Times New Roman"/>
          <w:sz w:val="14"/>
          <w:szCs w:val="14"/>
          <w:b w:val="1"/>
          <w:bCs w:val="1"/>
          <w:u w:val="single" w:color="auto"/>
          <w:color w:val="auto"/>
        </w:rPr>
        <w:t>evisions</w:t>
      </w:r>
    </w:p>
    <w:p>
      <w:pPr>
        <w:spacing w:after="0" w:line="210" w:lineRule="exact"/>
        <w:rPr>
          <w:sz w:val="20"/>
          <w:szCs w:val="20"/>
          <w:color w:val="auto"/>
        </w:rPr>
      </w:pPr>
    </w:p>
    <w:p>
      <w:pPr>
        <w:jc w:val="both"/>
        <w:ind w:firstLine="747"/>
        <w:spacing w:after="0" w:line="236" w:lineRule="auto"/>
        <w:rPr>
          <w:sz w:val="20"/>
          <w:szCs w:val="20"/>
          <w:color w:val="auto"/>
        </w:rPr>
      </w:pPr>
      <w:r>
        <w:rPr>
          <w:rFonts w:ascii="Times New Roman" w:cs="Times New Roman" w:eastAsia="Times New Roman" w:hAnsi="Times New Roman"/>
          <w:sz w:val="22"/>
          <w:szCs w:val="22"/>
          <w:color w:val="auto"/>
        </w:rPr>
        <w:t>The Board may amend, alter, suspend or terminate this Policy at any time and for any reason. No amendment, alteration, suspension or termination of this Policy will materially impair the rights of an Outside Director with respect to compensation that already has been paid or awarded, unless otherwise mutually agreed between the Outside Director and the Company. Termination of this Policy will not affect the Board’s or the Compensation Committee’s ability to exercise the powers granted to it under the Plan with respect to Awards granted under the Plan pursuant to this Policy prior to the date of such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600075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40" w:top="1188" w:right="45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2089150</wp:posOffset>
            </wp:positionH>
            <wp:positionV relativeFrom="paragraph">
              <wp:posOffset>19685</wp:posOffset>
            </wp:positionV>
            <wp:extent cx="2811780" cy="54038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7">
                      <a:extLst>
                        <a:ext uri="{28A0092B-C50C-407E-A947-70E740481C1C}"/>
                      </a:extLst>
                    </a:blip>
                    <a:srcRect/>
                    <a:stretch>
                      <a:fillRect/>
                    </a:stretch>
                  </pic:blipFill>
                  <pic:spPr bwMode="auto">
                    <a:xfrm>
                      <a:off x="0" y="0"/>
                      <a:ext cx="2811780" cy="540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color w:val="auto"/>
        </w:rPr>
        <w:t>November 5, 2024</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Robert Ticktin</w:t>
      </w:r>
    </w:p>
    <w:p>
      <w:pPr>
        <w:spacing w:after="0"/>
        <w:rPr>
          <w:sz w:val="20"/>
          <w:szCs w:val="20"/>
          <w:color w:val="auto"/>
        </w:rPr>
      </w:pPr>
      <w:r>
        <w:rPr>
          <w:rFonts w:ascii="Arial" w:cs="Arial" w:eastAsia="Arial" w:hAnsi="Arial"/>
          <w:sz w:val="20"/>
          <w:szCs w:val="20"/>
          <w:color w:val="auto"/>
        </w:rPr>
        <w:t>c/o PMV Pharmaceuticals</w:t>
      </w:r>
    </w:p>
    <w:p>
      <w:pPr>
        <w:spacing w:after="0" w:line="400" w:lineRule="exact"/>
        <w:rPr>
          <w:sz w:val="20"/>
          <w:szCs w:val="20"/>
          <w:color w:val="auto"/>
        </w:rPr>
      </w:pPr>
    </w:p>
    <w:p>
      <w:pPr>
        <w:spacing w:after="0"/>
        <w:rPr>
          <w:sz w:val="20"/>
          <w:szCs w:val="20"/>
          <w:color w:val="auto"/>
        </w:rPr>
      </w:pPr>
      <w:r>
        <w:rPr>
          <w:rFonts w:ascii="Arial" w:cs="Arial" w:eastAsia="Arial" w:hAnsi="Arial"/>
          <w:sz w:val="20"/>
          <w:szCs w:val="20"/>
          <w:color w:val="auto"/>
        </w:rPr>
        <w:t>Dear Robert,</w:t>
      </w:r>
    </w:p>
    <w:p>
      <w:pPr>
        <w:spacing w:after="0" w:line="202" w:lineRule="exact"/>
        <w:rPr>
          <w:sz w:val="20"/>
          <w:szCs w:val="20"/>
          <w:color w:val="auto"/>
        </w:rPr>
      </w:pPr>
    </w:p>
    <w:p>
      <w:pPr>
        <w:jc w:val="both"/>
        <w:ind w:right="140" w:firstLine="749"/>
        <w:spacing w:after="0" w:line="237" w:lineRule="auto"/>
        <w:rPr>
          <w:sz w:val="20"/>
          <w:szCs w:val="20"/>
          <w:color w:val="auto"/>
        </w:rPr>
      </w:pPr>
      <w:r>
        <w:rPr>
          <w:rFonts w:ascii="Arial" w:cs="Arial" w:eastAsia="Arial" w:hAnsi="Arial"/>
          <w:sz w:val="20"/>
          <w:szCs w:val="20"/>
          <w:color w:val="auto"/>
        </w:rPr>
        <w:t>This letter agreement (the “</w:t>
      </w:r>
      <w:r>
        <w:rPr>
          <w:rFonts w:ascii="Arial" w:cs="Arial" w:eastAsia="Arial" w:hAnsi="Arial"/>
          <w:sz w:val="20"/>
          <w:szCs w:val="20"/>
          <w:i w:val="1"/>
          <w:iCs w:val="1"/>
          <w:color w:val="auto"/>
        </w:rPr>
        <w:t>Agreement</w:t>
      </w:r>
      <w:r>
        <w:rPr>
          <w:rFonts w:ascii="Arial" w:cs="Arial" w:eastAsia="Arial" w:hAnsi="Arial"/>
          <w:sz w:val="20"/>
          <w:szCs w:val="20"/>
          <w:color w:val="auto"/>
        </w:rPr>
        <w:t>”) is entered into between you and PMV Pharmaceuticals, Inc. (the “</w:t>
      </w:r>
      <w:r>
        <w:rPr>
          <w:rFonts w:ascii="Arial" w:cs="Arial" w:eastAsia="Arial" w:hAnsi="Arial"/>
          <w:sz w:val="20"/>
          <w:szCs w:val="20"/>
          <w:i w:val="1"/>
          <w:iCs w:val="1"/>
          <w:color w:val="auto"/>
        </w:rPr>
        <w:t>Company</w:t>
      </w:r>
      <w:r>
        <w:rPr>
          <w:rFonts w:ascii="Arial" w:cs="Arial" w:eastAsia="Arial" w:hAnsi="Arial"/>
          <w:sz w:val="20"/>
          <w:szCs w:val="20"/>
          <w:color w:val="auto"/>
        </w:rPr>
        <w:t>,” “</w:t>
      </w:r>
      <w:r>
        <w:rPr>
          <w:rFonts w:ascii="Arial" w:cs="Arial" w:eastAsia="Arial" w:hAnsi="Arial"/>
          <w:sz w:val="20"/>
          <w:szCs w:val="20"/>
          <w:i w:val="1"/>
          <w:iCs w:val="1"/>
          <w:color w:val="auto"/>
        </w:rPr>
        <w:t>PMV Pharma</w:t>
      </w:r>
      <w:r>
        <w:rPr>
          <w:rFonts w:ascii="Arial" w:cs="Arial" w:eastAsia="Arial" w:hAnsi="Arial"/>
          <w:sz w:val="20"/>
          <w:szCs w:val="20"/>
          <w:color w:val="auto"/>
        </w:rPr>
        <w:t>,” or “</w:t>
      </w:r>
      <w:r>
        <w:rPr>
          <w:rFonts w:ascii="Arial" w:cs="Arial" w:eastAsia="Arial" w:hAnsi="Arial"/>
          <w:sz w:val="20"/>
          <w:szCs w:val="20"/>
          <w:i w:val="1"/>
          <w:iCs w:val="1"/>
          <w:color w:val="auto"/>
        </w:rPr>
        <w:t>we</w:t>
      </w:r>
      <w:r>
        <w:rPr>
          <w:rFonts w:ascii="Arial" w:cs="Arial" w:eastAsia="Arial" w:hAnsi="Arial"/>
          <w:sz w:val="20"/>
          <w:szCs w:val="20"/>
          <w:color w:val="auto"/>
        </w:rPr>
        <w:t>”), and amends and restates in full your earlier Employment Letter August 11, 2020, , reflecting your promotion and related compensation changes. This Agreement is effective as of the date hereof (the “</w:t>
      </w:r>
      <w:r>
        <w:rPr>
          <w:rFonts w:ascii="Arial" w:cs="Arial" w:eastAsia="Arial" w:hAnsi="Arial"/>
          <w:sz w:val="20"/>
          <w:szCs w:val="20"/>
          <w:i w:val="1"/>
          <w:iCs w:val="1"/>
          <w:color w:val="auto"/>
        </w:rPr>
        <w:t>Effective</w:t>
      </w:r>
      <w:r>
        <w:rPr>
          <w:rFonts w:ascii="Arial" w:cs="Arial" w:eastAsia="Arial" w:hAnsi="Arial"/>
          <w:sz w:val="20"/>
          <w:szCs w:val="20"/>
          <w:color w:val="auto"/>
        </w:rPr>
        <w:t xml:space="preserve"> </w:t>
      </w:r>
      <w:r>
        <w:rPr>
          <w:rFonts w:ascii="Arial" w:cs="Arial" w:eastAsia="Arial" w:hAnsi="Arial"/>
          <w:sz w:val="20"/>
          <w:szCs w:val="20"/>
          <w:i w:val="1"/>
          <w:iCs w:val="1"/>
          <w:color w:val="auto"/>
        </w:rPr>
        <w:t>Date</w:t>
      </w:r>
      <w:r>
        <w:rPr>
          <w:rFonts w:ascii="Arial" w:cs="Arial" w:eastAsia="Arial" w:hAnsi="Arial"/>
          <w:sz w:val="20"/>
          <w:szCs w:val="20"/>
          <w:color w:val="auto"/>
        </w:rPr>
        <w:t>”).</w:t>
      </w:r>
    </w:p>
    <w:p>
      <w:pPr>
        <w:spacing w:after="0" w:line="197" w:lineRule="exact"/>
        <w:rPr>
          <w:sz w:val="20"/>
          <w:szCs w:val="20"/>
          <w:color w:val="auto"/>
        </w:rPr>
      </w:pPr>
    </w:p>
    <w:p>
      <w:pPr>
        <w:ind w:left="760"/>
        <w:spacing w:after="0"/>
        <w:rPr>
          <w:sz w:val="20"/>
          <w:szCs w:val="20"/>
          <w:color w:val="auto"/>
        </w:rPr>
      </w:pPr>
      <w:r>
        <w:rPr>
          <w:rFonts w:ascii="Calibri" w:cs="Calibri" w:eastAsia="Calibri" w:hAnsi="Calibri"/>
          <w:sz w:val="20"/>
          <w:szCs w:val="20"/>
          <w:color w:val="auto"/>
        </w:rPr>
        <w:t>1.</w:t>
      </w:r>
      <w:r>
        <w:rPr>
          <w:rFonts w:ascii="Arial" w:cs="Arial" w:eastAsia="Arial" w:hAnsi="Arial"/>
          <w:sz w:val="20"/>
          <w:szCs w:val="20"/>
          <w:b w:val="1"/>
          <w:bCs w:val="1"/>
          <w:color w:val="auto"/>
        </w:rPr>
        <w:t>Position</w:t>
      </w:r>
      <w:r>
        <w:rPr>
          <w:rFonts w:ascii="Arial" w:cs="Arial" w:eastAsia="Arial" w:hAnsi="Arial"/>
          <w:sz w:val="20"/>
          <w:szCs w:val="20"/>
          <w:color w:val="auto"/>
        </w:rPr>
        <w:t>. Your new title is General Counsel &amp; Chief Operating Officer, and you will continue reporting to Davd</w:t>
      </w:r>
    </w:p>
    <w:p>
      <w:pPr>
        <w:spacing w:after="0" w:line="29" w:lineRule="exact"/>
        <w:rPr>
          <w:sz w:val="20"/>
          <w:szCs w:val="20"/>
          <w:color w:val="auto"/>
        </w:rPr>
      </w:pPr>
    </w:p>
    <w:p>
      <w:pPr>
        <w:jc w:val="both"/>
        <w:ind w:right="140"/>
        <w:spacing w:after="0" w:line="242" w:lineRule="auto"/>
        <w:rPr>
          <w:sz w:val="20"/>
          <w:szCs w:val="20"/>
          <w:color w:val="auto"/>
        </w:rPr>
      </w:pPr>
      <w:r>
        <w:rPr>
          <w:rFonts w:ascii="Arial" w:cs="Arial" w:eastAsia="Arial" w:hAnsi="Arial"/>
          <w:sz w:val="20"/>
          <w:szCs w:val="20"/>
          <w:color w:val="auto"/>
        </w:rPr>
        <w:t>Mack. This is a full-time position. While you render services to the Company, you will not engage in any other employment, consulting or other business activity (whether full-time or part-time) that would create a conflict of interest with the Company.</w:t>
      </w:r>
    </w:p>
    <w:p>
      <w:pPr>
        <w:spacing w:after="0" w:line="168" w:lineRule="exact"/>
        <w:rPr>
          <w:sz w:val="20"/>
          <w:szCs w:val="20"/>
          <w:color w:val="auto"/>
        </w:rPr>
      </w:pPr>
    </w:p>
    <w:p>
      <w:pPr>
        <w:ind w:left="740"/>
        <w:spacing w:after="0"/>
        <w:rPr>
          <w:sz w:val="20"/>
          <w:szCs w:val="20"/>
          <w:color w:val="auto"/>
        </w:rPr>
      </w:pPr>
      <w:r>
        <w:rPr>
          <w:rFonts w:ascii="Calibri" w:cs="Calibri" w:eastAsia="Calibri" w:hAnsi="Calibri"/>
          <w:sz w:val="20"/>
          <w:szCs w:val="20"/>
          <w:color w:val="auto"/>
        </w:rPr>
        <w:t>2.</w:t>
      </w:r>
      <w:r>
        <w:rPr>
          <w:rFonts w:ascii="Arial" w:cs="Arial" w:eastAsia="Arial" w:hAnsi="Arial"/>
          <w:sz w:val="20"/>
          <w:szCs w:val="20"/>
          <w:b w:val="1"/>
          <w:bCs w:val="1"/>
          <w:color w:val="auto"/>
        </w:rPr>
        <w:t>Cash Compensation</w:t>
      </w:r>
      <w:r>
        <w:rPr>
          <w:rFonts w:ascii="Arial" w:cs="Arial" w:eastAsia="Arial" w:hAnsi="Arial"/>
          <w:sz w:val="20"/>
          <w:szCs w:val="20"/>
          <w:color w:val="auto"/>
        </w:rPr>
        <w:t>. Your 2024 base salary will be increased to $450,000, effective as of November 5, 2024,</w:t>
      </w:r>
    </w:p>
    <w:p>
      <w:pPr>
        <w:spacing w:after="0" w:line="29" w:lineRule="exact"/>
        <w:rPr>
          <w:sz w:val="20"/>
          <w:szCs w:val="20"/>
          <w:color w:val="auto"/>
        </w:rPr>
      </w:pPr>
    </w:p>
    <w:p>
      <w:pPr>
        <w:jc w:val="both"/>
        <w:ind w:right="120"/>
        <w:spacing w:after="0" w:line="228" w:lineRule="auto"/>
        <w:rPr>
          <w:sz w:val="20"/>
          <w:szCs w:val="20"/>
          <w:color w:val="auto"/>
        </w:rPr>
      </w:pPr>
      <w:r>
        <w:rPr>
          <w:rFonts w:ascii="Arial" w:cs="Arial" w:eastAsia="Arial" w:hAnsi="Arial"/>
          <w:sz w:val="20"/>
          <w:szCs w:val="20"/>
          <w:color w:val="auto"/>
        </w:rPr>
        <w:t>payable in accordance with the Company’s standard payroll schedule. This salary will be subject to adjustment pursuant to the Company’s employee compensation policies in effect from time to time. In addition, you will be eligible to be considered for an incentive bonus for each fiscal year of the Company under the Company’s Employee Incentive Compensation Plan (the “</w:t>
      </w:r>
      <w:r>
        <w:rPr>
          <w:rFonts w:ascii="Arial" w:cs="Arial" w:eastAsia="Arial" w:hAnsi="Arial"/>
          <w:sz w:val="20"/>
          <w:szCs w:val="20"/>
          <w:i w:val="1"/>
          <w:iCs w:val="1"/>
          <w:color w:val="auto"/>
        </w:rPr>
        <w:t>Incentive Plan</w:t>
      </w:r>
      <w:r>
        <w:rPr>
          <w:rFonts w:ascii="Arial" w:cs="Arial" w:eastAsia="Arial" w:hAnsi="Arial"/>
          <w:sz w:val="20"/>
          <w:szCs w:val="20"/>
          <w:color w:val="auto"/>
        </w:rPr>
        <w:t>”) or any successor plan. The bonus (if any) will be awarded based on objective or subjective criteria established by the Company’s Board of Directors (the “</w:t>
      </w:r>
      <w:r>
        <w:rPr>
          <w:rFonts w:ascii="Arial" w:cs="Arial" w:eastAsia="Arial" w:hAnsi="Arial"/>
          <w:sz w:val="20"/>
          <w:szCs w:val="20"/>
          <w:i w:val="1"/>
          <w:iCs w:val="1"/>
          <w:color w:val="auto"/>
        </w:rPr>
        <w:t>Board</w:t>
      </w:r>
      <w:r>
        <w:rPr>
          <w:rFonts w:ascii="Arial" w:cs="Arial" w:eastAsia="Arial" w:hAnsi="Arial"/>
          <w:sz w:val="20"/>
          <w:szCs w:val="20"/>
          <w:color w:val="auto"/>
        </w:rPr>
        <w:t>”) and/or the Compensation Committee of the Board (the “</w:t>
      </w:r>
      <w:r>
        <w:rPr>
          <w:rFonts w:ascii="Arial" w:cs="Arial" w:eastAsia="Arial" w:hAnsi="Arial"/>
          <w:sz w:val="20"/>
          <w:szCs w:val="20"/>
          <w:i w:val="1"/>
          <w:iCs w:val="1"/>
          <w:color w:val="auto"/>
        </w:rPr>
        <w:t>Compensation Committee</w:t>
      </w:r>
      <w:r>
        <w:rPr>
          <w:rFonts w:ascii="Arial" w:cs="Arial" w:eastAsia="Arial" w:hAnsi="Arial"/>
          <w:sz w:val="20"/>
          <w:szCs w:val="20"/>
          <w:color w:val="auto"/>
        </w:rPr>
        <w:t>”), as applicable. Your annual target bonus will be increased for performance years 2024 and beyond to be 40% of your annual base salary. The terms and conditions of your bonus will be set forth in the Incentive Plan, and the Board and/or the Compensation Committee reserves authority to pay discretionary bonuses. The determinations of the Board and/or the Compensation Committee, as applicable, with respect to your bonus will be final and binding.</w:t>
      </w:r>
    </w:p>
    <w:p>
      <w:pPr>
        <w:spacing w:after="0" w:line="204" w:lineRule="exact"/>
        <w:rPr>
          <w:sz w:val="20"/>
          <w:szCs w:val="20"/>
          <w:color w:val="auto"/>
        </w:rPr>
      </w:pPr>
    </w:p>
    <w:p>
      <w:pPr>
        <w:ind w:left="760"/>
        <w:spacing w:after="0"/>
        <w:rPr>
          <w:sz w:val="20"/>
          <w:szCs w:val="20"/>
          <w:color w:val="auto"/>
        </w:rPr>
      </w:pPr>
      <w:r>
        <w:rPr>
          <w:rFonts w:ascii="Calibri" w:cs="Calibri" w:eastAsia="Calibri" w:hAnsi="Calibri"/>
          <w:sz w:val="20"/>
          <w:szCs w:val="20"/>
          <w:color w:val="auto"/>
        </w:rPr>
        <w:t>3.</w:t>
      </w:r>
      <w:r>
        <w:rPr>
          <w:rFonts w:ascii="Arial" w:cs="Arial" w:eastAsia="Arial" w:hAnsi="Arial"/>
          <w:sz w:val="20"/>
          <w:szCs w:val="20"/>
          <w:b w:val="1"/>
          <w:bCs w:val="1"/>
          <w:color w:val="auto"/>
        </w:rPr>
        <w:t>Employee Benefits</w:t>
      </w:r>
      <w:r>
        <w:rPr>
          <w:rFonts w:ascii="Arial" w:cs="Arial" w:eastAsia="Arial" w:hAnsi="Arial"/>
          <w:sz w:val="20"/>
          <w:szCs w:val="20"/>
          <w:color w:val="auto"/>
        </w:rPr>
        <w:t>. As a regular employee of the Company, you will continue to be eligible to participate in a</w:t>
      </w:r>
    </w:p>
    <w:p>
      <w:pPr>
        <w:spacing w:after="0" w:line="29" w:lineRule="exact"/>
        <w:rPr>
          <w:sz w:val="20"/>
          <w:szCs w:val="20"/>
          <w:color w:val="auto"/>
        </w:rPr>
      </w:pPr>
    </w:p>
    <w:p>
      <w:pPr>
        <w:jc w:val="both"/>
        <w:ind w:right="140"/>
        <w:spacing w:after="0" w:line="242" w:lineRule="auto"/>
        <w:rPr>
          <w:sz w:val="20"/>
          <w:szCs w:val="20"/>
          <w:color w:val="auto"/>
        </w:rPr>
      </w:pPr>
      <w:r>
        <w:rPr>
          <w:rFonts w:ascii="Arial" w:cs="Arial" w:eastAsia="Arial" w:hAnsi="Arial"/>
          <w:sz w:val="20"/>
          <w:szCs w:val="20"/>
          <w:color w:val="auto"/>
        </w:rPr>
        <w:t>number of Company-sponsored benefits. In addition, you will continue to be entitled to paid vacation in accordance with the Company’s vacation policy, as in effect from time to time.</w:t>
      </w:r>
    </w:p>
    <w:p>
      <w:pPr>
        <w:spacing w:after="0" w:line="168" w:lineRule="exact"/>
        <w:rPr>
          <w:sz w:val="20"/>
          <w:szCs w:val="20"/>
          <w:color w:val="auto"/>
        </w:rPr>
      </w:pPr>
    </w:p>
    <w:p>
      <w:pPr>
        <w:ind w:left="760"/>
        <w:spacing w:after="0"/>
        <w:rPr>
          <w:sz w:val="20"/>
          <w:szCs w:val="20"/>
          <w:color w:val="auto"/>
        </w:rPr>
      </w:pPr>
      <w:r>
        <w:rPr>
          <w:rFonts w:ascii="Calibri" w:cs="Calibri" w:eastAsia="Calibri" w:hAnsi="Calibri"/>
          <w:sz w:val="20"/>
          <w:szCs w:val="20"/>
          <w:color w:val="auto"/>
        </w:rPr>
        <w:t>4.</w:t>
      </w:r>
      <w:r>
        <w:rPr>
          <w:rFonts w:ascii="Arial" w:cs="Arial" w:eastAsia="Arial" w:hAnsi="Arial"/>
          <w:sz w:val="20"/>
          <w:szCs w:val="20"/>
          <w:b w:val="1"/>
          <w:bCs w:val="1"/>
          <w:color w:val="auto"/>
        </w:rPr>
        <w:t>Equity Awards</w:t>
      </w:r>
      <w:r>
        <w:rPr>
          <w:rFonts w:ascii="Arial" w:cs="Arial" w:eastAsia="Arial" w:hAnsi="Arial"/>
          <w:sz w:val="20"/>
          <w:szCs w:val="20"/>
          <w:color w:val="auto"/>
        </w:rPr>
        <w:t>. You have received equity awards from the Company and these awards shall continue to be in full</w:t>
      </w:r>
    </w:p>
    <w:p>
      <w:pPr>
        <w:spacing w:after="0" w:line="29" w:lineRule="exact"/>
        <w:rPr>
          <w:sz w:val="20"/>
          <w:szCs w:val="20"/>
          <w:color w:val="auto"/>
        </w:rPr>
      </w:pPr>
    </w:p>
    <w:p>
      <w:pPr>
        <w:jc w:val="both"/>
        <w:ind w:right="140"/>
        <w:spacing w:after="0" w:line="242" w:lineRule="auto"/>
        <w:rPr>
          <w:sz w:val="20"/>
          <w:szCs w:val="20"/>
          <w:color w:val="auto"/>
        </w:rPr>
      </w:pPr>
      <w:r>
        <w:rPr>
          <w:rFonts w:ascii="Arial" w:cs="Arial" w:eastAsia="Arial" w:hAnsi="Arial"/>
          <w:sz w:val="20"/>
          <w:szCs w:val="20"/>
          <w:color w:val="auto"/>
        </w:rPr>
        <w:t>force and effect and governed by the terms set forth therein, as modified by the Company’s Change in Control and Severance Policy and your participation agreement thereunder (the “</w:t>
      </w:r>
      <w:r>
        <w:rPr>
          <w:rFonts w:ascii="Arial" w:cs="Arial" w:eastAsia="Arial" w:hAnsi="Arial"/>
          <w:sz w:val="20"/>
          <w:szCs w:val="20"/>
          <w:i w:val="1"/>
          <w:iCs w:val="1"/>
          <w:color w:val="auto"/>
        </w:rPr>
        <w:t>Severance Policy</w:t>
      </w:r>
      <w:r>
        <w:rPr>
          <w:rFonts w:ascii="Arial" w:cs="Arial" w:eastAsia="Arial" w:hAnsi="Arial"/>
          <w:sz w:val="20"/>
          <w:szCs w:val="20"/>
          <w:color w:val="auto"/>
        </w:rPr>
        <w:t>”).</w:t>
      </w:r>
    </w:p>
    <w:p>
      <w:pPr>
        <w:spacing w:after="0" w:line="168" w:lineRule="exact"/>
        <w:rPr>
          <w:sz w:val="20"/>
          <w:szCs w:val="20"/>
          <w:color w:val="auto"/>
        </w:rPr>
      </w:pPr>
    </w:p>
    <w:p>
      <w:pPr>
        <w:ind w:left="760"/>
        <w:spacing w:after="0"/>
        <w:rPr>
          <w:sz w:val="20"/>
          <w:szCs w:val="20"/>
          <w:color w:val="auto"/>
        </w:rPr>
      </w:pPr>
      <w:r>
        <w:rPr>
          <w:rFonts w:ascii="Calibri" w:cs="Calibri" w:eastAsia="Calibri" w:hAnsi="Calibri"/>
          <w:sz w:val="20"/>
          <w:szCs w:val="20"/>
          <w:color w:val="auto"/>
        </w:rPr>
        <w:t>5.</w:t>
      </w:r>
      <w:r>
        <w:rPr>
          <w:rFonts w:ascii="Arial" w:cs="Arial" w:eastAsia="Arial" w:hAnsi="Arial"/>
          <w:sz w:val="20"/>
          <w:szCs w:val="20"/>
          <w:b w:val="1"/>
          <w:bCs w:val="1"/>
          <w:color w:val="auto"/>
        </w:rPr>
        <w:t>Severance &amp; Change of Control Benefits</w:t>
      </w:r>
      <w:r>
        <w:rPr>
          <w:rFonts w:ascii="Arial" w:cs="Arial" w:eastAsia="Arial" w:hAnsi="Arial"/>
          <w:sz w:val="20"/>
          <w:szCs w:val="20"/>
          <w:color w:val="auto"/>
        </w:rPr>
        <w:t>. You will continue to be eligible for benefits in the Severance Policy.</w:t>
      </w:r>
    </w:p>
    <w:p>
      <w:pPr>
        <w:spacing w:after="0" w:line="29" w:lineRule="exact"/>
        <w:rPr>
          <w:sz w:val="20"/>
          <w:szCs w:val="20"/>
          <w:color w:val="auto"/>
        </w:rPr>
      </w:pPr>
    </w:p>
    <w:p>
      <w:pPr>
        <w:jc w:val="both"/>
        <w:ind w:right="140"/>
        <w:spacing w:after="0" w:line="241" w:lineRule="auto"/>
        <w:rPr>
          <w:sz w:val="20"/>
          <w:szCs w:val="20"/>
          <w:color w:val="auto"/>
        </w:rPr>
      </w:pPr>
      <w:r>
        <w:rPr>
          <w:rFonts w:ascii="Arial" w:cs="Arial" w:eastAsia="Arial" w:hAnsi="Arial"/>
          <w:sz w:val="20"/>
          <w:szCs w:val="20"/>
          <w:color w:val="auto"/>
        </w:rPr>
        <w:t>However, commencing as of the Effective Date, you will be covered at the C-suite severance level, and the Company has provided you with an amended version of your participation agreement to the Severance Policy reflecting this change.</w:t>
      </w:r>
    </w:p>
    <w:p>
      <w:pPr>
        <w:spacing w:after="0" w:line="1" w:lineRule="exact"/>
        <w:rPr>
          <w:sz w:val="20"/>
          <w:szCs w:val="20"/>
          <w:color w:val="auto"/>
        </w:rPr>
      </w:pPr>
    </w:p>
    <w:p>
      <w:pPr>
        <w:ind w:left="760"/>
        <w:spacing w:after="0"/>
        <w:rPr>
          <w:sz w:val="20"/>
          <w:szCs w:val="20"/>
          <w:color w:val="auto"/>
        </w:rPr>
      </w:pPr>
      <w:r>
        <w:rPr>
          <w:rFonts w:ascii="Calibri" w:cs="Calibri" w:eastAsia="Calibri" w:hAnsi="Calibri"/>
          <w:sz w:val="20"/>
          <w:szCs w:val="20"/>
          <w:color w:val="auto"/>
        </w:rPr>
        <w:t>6.</w:t>
      </w:r>
      <w:r>
        <w:rPr>
          <w:rFonts w:ascii="Arial" w:cs="Arial" w:eastAsia="Arial" w:hAnsi="Arial"/>
          <w:sz w:val="20"/>
          <w:szCs w:val="20"/>
          <w:b w:val="1"/>
          <w:bCs w:val="1"/>
          <w:color w:val="auto"/>
        </w:rPr>
        <w:t>Proprietary Information and Inventions Agreement</w:t>
      </w:r>
      <w:r>
        <w:rPr>
          <w:rFonts w:ascii="Arial" w:cs="Arial" w:eastAsia="Arial" w:hAnsi="Arial"/>
          <w:sz w:val="20"/>
          <w:szCs w:val="20"/>
          <w:color w:val="auto"/>
        </w:rPr>
        <w:t>. As an employee of the Company, you will continue to have</w:t>
      </w:r>
    </w:p>
    <w:p>
      <w:pPr>
        <w:spacing w:after="0" w:line="9" w:lineRule="exact"/>
        <w:rPr>
          <w:sz w:val="20"/>
          <w:szCs w:val="20"/>
          <w:color w:val="auto"/>
        </w:rPr>
      </w:pPr>
    </w:p>
    <w:p>
      <w:pPr>
        <w:jc w:val="both"/>
        <w:ind w:right="140"/>
        <w:spacing w:after="0" w:line="242" w:lineRule="auto"/>
        <w:rPr>
          <w:sz w:val="20"/>
          <w:szCs w:val="20"/>
          <w:color w:val="auto"/>
        </w:rPr>
      </w:pPr>
      <w:r>
        <w:rPr>
          <w:rFonts w:ascii="Arial" w:cs="Arial" w:eastAsia="Arial" w:hAnsi="Arial"/>
          <w:sz w:val="20"/>
          <w:szCs w:val="20"/>
          <w:color w:val="auto"/>
        </w:rPr>
        <w:t>access to certain confidential information of the Company and you may, during the course of your employment, develop certain information or inventions that will be the property of the Company. To protect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588645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440" w:top="995" w:right="339" w:bottom="1440" w:gutter="0" w:footer="0" w:header="0"/>
        </w:sectPr>
      </w:pPr>
    </w:p>
    <w:bookmarkStart w:id="35" w:name="page36"/>
    <w:bookmarkEnd w:id="35"/>
    <w:p>
      <w:pPr>
        <w:jc w:val="both"/>
        <w:ind w:left="120"/>
        <w:spacing w:after="0" w:line="232" w:lineRule="auto"/>
        <w:rPr>
          <w:sz w:val="20"/>
          <w:szCs w:val="20"/>
          <w:color w:val="auto"/>
        </w:rPr>
      </w:pPr>
      <w:r>
        <w:rPr>
          <w:rFonts w:ascii="Arial" w:cs="Arial" w:eastAsia="Arial" w:hAnsi="Arial"/>
          <w:sz w:val="20"/>
          <w:szCs w:val="20"/>
          <w:color w:val="auto"/>
        </w:rPr>
        <w:t>interests of the Company, your acceptance of this Agreement reaffirms that the terms of the Company’s At-Will Employment, Confidential Information, Invention Assignment, and Arbitration Agreement that you executed in connection with your hire (the “</w:t>
      </w:r>
      <w:r>
        <w:rPr>
          <w:rFonts w:ascii="Arial" w:cs="Arial" w:eastAsia="Arial" w:hAnsi="Arial"/>
          <w:sz w:val="20"/>
          <w:szCs w:val="20"/>
          <w:i w:val="1"/>
          <w:iCs w:val="1"/>
          <w:color w:val="auto"/>
        </w:rPr>
        <w:t>PIAA</w:t>
      </w:r>
      <w:r>
        <w:rPr>
          <w:rFonts w:ascii="Arial" w:cs="Arial" w:eastAsia="Arial" w:hAnsi="Arial"/>
          <w:sz w:val="20"/>
          <w:szCs w:val="20"/>
          <w:color w:val="auto"/>
        </w:rPr>
        <w:t>”) continue to be in effect. In the event of any dispute or claim relating to or arising out of our employment relationship, you and the Company agree that (i) any and all disputes between you and the Company shall be fully and finally resolved by binding arbitration, (ii) you are waiting any and all rights to a jury trial but all court remedies will be available in arbitration, (iii) all disputes shall be resolved by a neutral arbitrator who shall issue a written opinion, and (iv) the arbitration shall provide for adequate discovery, and the Company shall pay all but the first $125 of the arbitration fees.</w:t>
      </w:r>
    </w:p>
    <w:p>
      <w:pPr>
        <w:spacing w:after="0" w:line="170" w:lineRule="exact"/>
        <w:rPr>
          <w:sz w:val="20"/>
          <w:szCs w:val="20"/>
          <w:color w:val="auto"/>
        </w:rPr>
      </w:pPr>
    </w:p>
    <w:p>
      <w:pPr>
        <w:ind w:left="880"/>
        <w:spacing w:after="0"/>
        <w:rPr>
          <w:sz w:val="20"/>
          <w:szCs w:val="20"/>
          <w:color w:val="auto"/>
        </w:rPr>
      </w:pPr>
      <w:r>
        <w:rPr>
          <w:rFonts w:ascii="Calibri" w:cs="Calibri" w:eastAsia="Calibri" w:hAnsi="Calibri"/>
          <w:sz w:val="19"/>
          <w:szCs w:val="19"/>
          <w:color w:val="auto"/>
        </w:rPr>
        <w:t>7.</w:t>
      </w:r>
      <w:r>
        <w:rPr>
          <w:rFonts w:ascii="Arial" w:cs="Arial" w:eastAsia="Arial" w:hAnsi="Arial"/>
          <w:sz w:val="19"/>
          <w:szCs w:val="19"/>
          <w:b w:val="1"/>
          <w:bCs w:val="1"/>
          <w:color w:val="auto"/>
        </w:rPr>
        <w:t>Employment Relationship</w:t>
      </w:r>
      <w:r>
        <w:rPr>
          <w:rFonts w:ascii="Arial" w:cs="Arial" w:eastAsia="Arial" w:hAnsi="Arial"/>
          <w:sz w:val="19"/>
          <w:szCs w:val="19"/>
          <w:color w:val="auto"/>
        </w:rPr>
        <w:t>. Employment with the Company is for no specific period of time. Your employment with</w:t>
      </w:r>
    </w:p>
    <w:p>
      <w:pPr>
        <w:spacing w:after="0" w:line="41" w:lineRule="exact"/>
        <w:rPr>
          <w:sz w:val="20"/>
          <w:szCs w:val="20"/>
          <w:color w:val="auto"/>
        </w:rPr>
      </w:pPr>
    </w:p>
    <w:p>
      <w:pPr>
        <w:jc w:val="both"/>
        <w:ind w:left="120"/>
        <w:spacing w:after="0" w:line="230" w:lineRule="auto"/>
        <w:rPr>
          <w:sz w:val="20"/>
          <w:szCs w:val="20"/>
          <w:color w:val="auto"/>
        </w:rPr>
      </w:pPr>
      <w:r>
        <w:rPr>
          <w:rFonts w:ascii="Arial" w:cs="Arial" w:eastAsia="Arial" w:hAnsi="Arial"/>
          <w:sz w:val="20"/>
          <w:szCs w:val="20"/>
          <w:color w:val="auto"/>
        </w:rPr>
        <w:t>the Company continues to be “at will,” meaning that either you or the Company may terminate your employment at any time and for any reason, with or without cause. Any contrary representations that may have been made to you are superseded by this Agreement. This is the full and complete Agreement between you and the Company on this term. Although your job duties, title, compensation and benefits, as well as the Company’s personnel policies and procedures, may change from time to time, the “at will” nature of your employment may only be changed in an express written agreement signed by you and a duly authorized officer of the Company (other than you).</w:t>
      </w:r>
    </w:p>
    <w:p>
      <w:pPr>
        <w:spacing w:after="0" w:line="200" w:lineRule="exact"/>
        <w:rPr>
          <w:sz w:val="20"/>
          <w:szCs w:val="20"/>
          <w:color w:val="auto"/>
        </w:rPr>
      </w:pPr>
    </w:p>
    <w:p>
      <w:pPr>
        <w:ind w:left="1620" w:hanging="744"/>
        <w:spacing w:after="0"/>
        <w:tabs>
          <w:tab w:leader="none" w:pos="1620" w:val="left"/>
        </w:tabs>
        <w:numPr>
          <w:ilvl w:val="0"/>
          <w:numId w:val="18"/>
        </w:numPr>
        <w:rPr>
          <w:rFonts w:ascii="Calibri" w:cs="Calibri" w:eastAsia="Calibri" w:hAnsi="Calibri"/>
          <w:sz w:val="20"/>
          <w:szCs w:val="20"/>
          <w:color w:val="auto"/>
        </w:rPr>
      </w:pPr>
      <w:r>
        <w:rPr>
          <w:rFonts w:ascii="Arial" w:cs="Arial" w:eastAsia="Arial" w:hAnsi="Arial"/>
          <w:sz w:val="20"/>
          <w:szCs w:val="20"/>
          <w:b w:val="1"/>
          <w:bCs w:val="1"/>
          <w:color w:val="auto"/>
        </w:rPr>
        <w:t>Tax Matters</w:t>
      </w:r>
      <w:r>
        <w:rPr>
          <w:rFonts w:ascii="Arial" w:cs="Arial" w:eastAsia="Arial" w:hAnsi="Arial"/>
          <w:sz w:val="20"/>
          <w:szCs w:val="20"/>
          <w:color w:val="auto"/>
        </w:rPr>
        <w:t>.</w:t>
      </w:r>
    </w:p>
    <w:p>
      <w:pPr>
        <w:spacing w:after="0" w:line="230" w:lineRule="exact"/>
        <w:rPr>
          <w:rFonts w:ascii="Calibri" w:cs="Calibri" w:eastAsia="Calibri" w:hAnsi="Calibri"/>
          <w:sz w:val="20"/>
          <w:szCs w:val="20"/>
          <w:color w:val="auto"/>
        </w:rPr>
      </w:pPr>
    </w:p>
    <w:p>
      <w:pPr>
        <w:ind w:left="120" w:right="20" w:firstLine="1505"/>
        <w:spacing w:after="0" w:line="285" w:lineRule="auto"/>
        <w:tabs>
          <w:tab w:leader="none" w:pos="2031" w:val="left"/>
        </w:tabs>
        <w:numPr>
          <w:ilvl w:val="1"/>
          <w:numId w:val="18"/>
        </w:numPr>
        <w:rPr>
          <w:rFonts w:ascii="Calibri" w:cs="Calibri" w:eastAsia="Calibri" w:hAnsi="Calibri"/>
          <w:sz w:val="20"/>
          <w:szCs w:val="20"/>
          <w:color w:val="auto"/>
        </w:rPr>
      </w:pPr>
      <w:r>
        <w:rPr>
          <w:rFonts w:ascii="Arial" w:cs="Arial" w:eastAsia="Arial" w:hAnsi="Arial"/>
          <w:sz w:val="20"/>
          <w:szCs w:val="20"/>
          <w:u w:val="single" w:color="auto"/>
          <w:color w:val="auto"/>
        </w:rPr>
        <w:t>Withholding</w:t>
      </w:r>
      <w:r>
        <w:rPr>
          <w:rFonts w:ascii="Arial" w:cs="Arial" w:eastAsia="Arial" w:hAnsi="Arial"/>
          <w:sz w:val="20"/>
          <w:szCs w:val="20"/>
          <w:color w:val="auto"/>
        </w:rPr>
        <w:t>. All forms of compensation referred to in this Agreement are subject to reduction to reflect applicable withholding and payroll taxes and other deductions required by law.</w:t>
      </w:r>
    </w:p>
    <w:p>
      <w:pPr>
        <w:spacing w:after="0" w:line="125" w:lineRule="exact"/>
        <w:rPr>
          <w:rFonts w:ascii="Calibri" w:cs="Calibri" w:eastAsia="Calibri" w:hAnsi="Calibri"/>
          <w:sz w:val="20"/>
          <w:szCs w:val="20"/>
          <w:color w:val="auto"/>
        </w:rPr>
      </w:pPr>
    </w:p>
    <w:p>
      <w:pPr>
        <w:ind w:left="2040" w:hanging="415"/>
        <w:spacing w:after="0"/>
        <w:tabs>
          <w:tab w:leader="none" w:pos="2040" w:val="left"/>
        </w:tabs>
        <w:numPr>
          <w:ilvl w:val="1"/>
          <w:numId w:val="18"/>
        </w:numPr>
        <w:rPr>
          <w:rFonts w:ascii="Calibri" w:cs="Calibri" w:eastAsia="Calibri" w:hAnsi="Calibri"/>
          <w:sz w:val="20"/>
          <w:szCs w:val="20"/>
          <w:color w:val="auto"/>
        </w:rPr>
      </w:pPr>
      <w:r>
        <w:rPr>
          <w:rFonts w:ascii="Arial" w:cs="Arial" w:eastAsia="Arial" w:hAnsi="Arial"/>
          <w:sz w:val="20"/>
          <w:szCs w:val="20"/>
          <w:u w:val="single" w:color="auto"/>
          <w:color w:val="auto"/>
        </w:rPr>
        <w:t>Section 409A</w:t>
      </w:r>
      <w:r>
        <w:rPr>
          <w:rFonts w:ascii="Arial" w:cs="Arial" w:eastAsia="Arial" w:hAnsi="Arial"/>
          <w:sz w:val="20"/>
          <w:szCs w:val="20"/>
          <w:color w:val="auto"/>
        </w:rPr>
        <w:t>. The parties intend that the benefits and payments provided under this Agreement shall</w:t>
      </w:r>
    </w:p>
    <w:p>
      <w:pPr>
        <w:spacing w:after="0" w:line="17" w:lineRule="exact"/>
        <w:rPr>
          <w:sz w:val="20"/>
          <w:szCs w:val="20"/>
          <w:color w:val="auto"/>
        </w:rPr>
      </w:pPr>
    </w:p>
    <w:p>
      <w:pPr>
        <w:jc w:val="both"/>
        <w:ind w:left="120"/>
        <w:spacing w:after="0"/>
        <w:rPr>
          <w:sz w:val="20"/>
          <w:szCs w:val="20"/>
          <w:color w:val="auto"/>
        </w:rPr>
      </w:pPr>
      <w:r>
        <w:rPr>
          <w:rFonts w:ascii="Arial" w:cs="Arial" w:eastAsia="Arial" w:hAnsi="Arial"/>
          <w:sz w:val="19"/>
          <w:szCs w:val="19"/>
          <w:color w:val="auto"/>
        </w:rPr>
        <w:t>be exempt from, or comply with, the requirements of Section 409A of the Code (as it has been and may be amended from time to time) and any regulations and guidance that has been promulgated or may be promulgated from time to time thereunder (“</w:t>
      </w:r>
      <w:r>
        <w:rPr>
          <w:rFonts w:ascii="Arial" w:cs="Arial" w:eastAsia="Arial" w:hAnsi="Arial"/>
          <w:sz w:val="19"/>
          <w:szCs w:val="19"/>
          <w:i w:val="1"/>
          <w:iCs w:val="1"/>
          <w:color w:val="auto"/>
        </w:rPr>
        <w:t>Section 409A</w:t>
      </w:r>
      <w:r>
        <w:rPr>
          <w:rFonts w:ascii="Arial" w:cs="Arial" w:eastAsia="Arial" w:hAnsi="Arial"/>
          <w:sz w:val="19"/>
          <w:szCs w:val="19"/>
          <w:color w:val="auto"/>
        </w:rPr>
        <w:t>”), and any ambiguities or ambiguous terms herein will be interpreted to so comply. Each payment and benefit payable under this Agreement is intended to constitute a separate payment for purposes of Section 1.409A-2(b)</w:t>
      </w:r>
    </w:p>
    <w:p>
      <w:pPr>
        <w:spacing w:after="0" w:line="3" w:lineRule="exact"/>
        <w:rPr>
          <w:sz w:val="20"/>
          <w:szCs w:val="20"/>
          <w:color w:val="auto"/>
        </w:rPr>
      </w:pPr>
    </w:p>
    <w:p>
      <w:pPr>
        <w:ind w:left="120" w:firstLine="8"/>
        <w:spacing w:after="0" w:line="239" w:lineRule="auto"/>
        <w:tabs>
          <w:tab w:leader="none" w:pos="430" w:val="left"/>
        </w:tabs>
        <w:numPr>
          <w:ilvl w:val="0"/>
          <w:numId w:val="19"/>
        </w:numPr>
        <w:rPr>
          <w:rFonts w:ascii="Arial" w:cs="Arial" w:eastAsia="Arial" w:hAnsi="Arial"/>
          <w:sz w:val="20"/>
          <w:szCs w:val="20"/>
          <w:color w:val="auto"/>
        </w:rPr>
      </w:pPr>
      <w:r>
        <w:rPr>
          <w:rFonts w:ascii="Arial" w:cs="Arial" w:eastAsia="Arial" w:hAnsi="Arial"/>
          <w:sz w:val="20"/>
          <w:szCs w:val="20"/>
          <w:color w:val="auto"/>
        </w:rPr>
        <w:t>of the Treasury Regulations. The Company shall in no event be obligated to indemnify you for any taxes or interest that may be assessed under Section 409A.</w:t>
      </w:r>
    </w:p>
    <w:p>
      <w:pPr>
        <w:spacing w:after="0" w:line="170" w:lineRule="exact"/>
        <w:rPr>
          <w:sz w:val="20"/>
          <w:szCs w:val="20"/>
          <w:color w:val="auto"/>
        </w:rPr>
      </w:pPr>
    </w:p>
    <w:p>
      <w:pPr>
        <w:ind w:left="880"/>
        <w:spacing w:after="0"/>
        <w:rPr>
          <w:sz w:val="20"/>
          <w:szCs w:val="20"/>
          <w:color w:val="auto"/>
        </w:rPr>
      </w:pPr>
      <w:r>
        <w:rPr>
          <w:rFonts w:ascii="Calibri" w:cs="Calibri" w:eastAsia="Calibri" w:hAnsi="Calibri"/>
          <w:sz w:val="20"/>
          <w:szCs w:val="20"/>
          <w:color w:val="auto"/>
        </w:rPr>
        <w:t>9.</w:t>
      </w:r>
      <w:r>
        <w:rPr>
          <w:rFonts w:ascii="Arial" w:cs="Arial" w:eastAsia="Arial" w:hAnsi="Arial"/>
          <w:sz w:val="20"/>
          <w:szCs w:val="20"/>
          <w:b w:val="1"/>
          <w:bCs w:val="1"/>
          <w:color w:val="auto"/>
        </w:rPr>
        <w:t>Interpretation, Amendment and Enforcement.</w:t>
      </w:r>
      <w:r>
        <w:rPr>
          <w:rFonts w:ascii="Calibri" w:cs="Calibri" w:eastAsia="Calibri" w:hAnsi="Calibri"/>
          <w:sz w:val="20"/>
          <w:szCs w:val="20"/>
          <w:color w:val="auto"/>
        </w:rPr>
        <w:t xml:space="preserve"> </w:t>
      </w:r>
      <w:r>
        <w:rPr>
          <w:rFonts w:ascii="Arial" w:cs="Arial" w:eastAsia="Arial" w:hAnsi="Arial"/>
          <w:sz w:val="20"/>
          <w:szCs w:val="20"/>
          <w:color w:val="auto"/>
        </w:rPr>
        <w:t>This Agreement, together with the PIAA, the Severance Policy</w:t>
      </w:r>
    </w:p>
    <w:p>
      <w:pPr>
        <w:spacing w:after="0" w:line="29" w:lineRule="exact"/>
        <w:rPr>
          <w:sz w:val="20"/>
          <w:szCs w:val="20"/>
          <w:color w:val="auto"/>
        </w:rPr>
      </w:pPr>
    </w:p>
    <w:p>
      <w:pPr>
        <w:jc w:val="both"/>
        <w:ind w:left="120"/>
        <w:spacing w:after="0" w:line="231" w:lineRule="auto"/>
        <w:rPr>
          <w:sz w:val="20"/>
          <w:szCs w:val="20"/>
          <w:color w:val="auto"/>
        </w:rPr>
      </w:pPr>
      <w:r>
        <w:rPr>
          <w:rFonts w:ascii="Arial" w:cs="Arial" w:eastAsia="Arial" w:hAnsi="Arial"/>
          <w:sz w:val="20"/>
          <w:szCs w:val="20"/>
          <w:color w:val="auto"/>
        </w:rPr>
        <w:t>and your participation agreement under the Severance Policy and your Equity Award agreements, supersede and replace any prior agreements, representations or understandings (whether written, oral, implied or otherwise) between you and the Company, including, but not limited to any initial offer letter with the Company, and constitute the complete agreement between you and the Company regarding the subject matter set forth herein. This Agreement may not be amended or modified, except by an express written agreement signed by both you and a duly authorized officer of the Company.</w:t>
      </w:r>
    </w:p>
    <w:p>
      <w:pPr>
        <w:spacing w:after="0" w:line="202"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 * * * *</w:t>
      </w:r>
    </w:p>
    <w:p>
      <w:pPr>
        <w:spacing w:after="0" w:line="202" w:lineRule="exact"/>
        <w:rPr>
          <w:sz w:val="20"/>
          <w:szCs w:val="20"/>
          <w:color w:val="auto"/>
        </w:rPr>
      </w:pPr>
    </w:p>
    <w:p>
      <w:pPr>
        <w:jc w:val="center"/>
        <w:ind w:right="180"/>
        <w:spacing w:after="0"/>
        <w:rPr>
          <w:sz w:val="20"/>
          <w:szCs w:val="20"/>
          <w:color w:val="auto"/>
        </w:rPr>
      </w:pPr>
      <w:r>
        <w:rPr>
          <w:rFonts w:ascii="Arial" w:cs="Arial" w:eastAsia="Arial" w:hAnsi="Arial"/>
          <w:sz w:val="19"/>
          <w:szCs w:val="19"/>
          <w:color w:val="auto"/>
        </w:rPr>
        <w:t>We are extremely excited about your promotion to General Counsel and COO and your new leadership role at PMV Pharma!</w:t>
      </w:r>
    </w:p>
    <w:p>
      <w:pPr>
        <w:spacing w:after="0" w:line="214"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 follows</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1415415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036" w:right="479" w:bottom="1440" w:gutter="0" w:footer="0" w:header="0"/>
        </w:sectPr>
      </w:pPr>
    </w:p>
    <w:bookmarkStart w:id="36" w:name="page37"/>
    <w:bookmarkEnd w:id="36"/>
    <w:p>
      <w:pPr>
        <w:ind w:firstLine="749"/>
        <w:spacing w:after="0" w:line="257" w:lineRule="auto"/>
        <w:rPr>
          <w:sz w:val="20"/>
          <w:szCs w:val="20"/>
          <w:color w:val="auto"/>
        </w:rPr>
      </w:pPr>
      <w:r>
        <w:rPr>
          <w:rFonts w:ascii="Arial" w:cs="Arial" w:eastAsia="Arial" w:hAnsi="Arial"/>
          <w:sz w:val="20"/>
          <w:szCs w:val="20"/>
          <w:color w:val="auto"/>
        </w:rPr>
        <w:t>To indicate your acceptance of the Company's offer, please sign and date this letter in the space provided below and return it to me. A duplicate original is enclosed for your records.</w:t>
      </w:r>
    </w:p>
    <w:p>
      <w:pPr>
        <w:spacing w:after="0" w:line="371" w:lineRule="exact"/>
        <w:rPr>
          <w:sz w:val="20"/>
          <w:szCs w:val="20"/>
          <w:color w:val="auto"/>
        </w:rPr>
      </w:pPr>
    </w:p>
    <w:p>
      <w:pPr>
        <w:ind w:left="5520"/>
        <w:spacing w:after="0"/>
        <w:rPr>
          <w:sz w:val="20"/>
          <w:szCs w:val="20"/>
          <w:color w:val="auto"/>
        </w:rPr>
      </w:pPr>
      <w:r>
        <w:rPr>
          <w:rFonts w:ascii="Arial" w:cs="Arial" w:eastAsia="Arial" w:hAnsi="Arial"/>
          <w:sz w:val="20"/>
          <w:szCs w:val="20"/>
          <w:color w:val="595959"/>
        </w:rPr>
        <w:t>Sincerely,</w:t>
      </w:r>
    </w:p>
    <w:p>
      <w:pPr>
        <w:spacing w:after="0" w:line="4" w:lineRule="exact"/>
        <w:rPr>
          <w:sz w:val="20"/>
          <w:szCs w:val="20"/>
          <w:color w:val="auto"/>
        </w:rPr>
      </w:pPr>
    </w:p>
    <w:p>
      <w:pPr>
        <w:ind w:left="5320"/>
        <w:spacing w:after="0"/>
        <w:rPr>
          <w:sz w:val="20"/>
          <w:szCs w:val="20"/>
          <w:color w:val="auto"/>
        </w:rPr>
      </w:pPr>
      <w:r>
        <w:rPr>
          <w:rFonts w:ascii="Arial" w:cs="Arial" w:eastAsia="Arial" w:hAnsi="Arial"/>
          <w:sz w:val="20"/>
          <w:szCs w:val="20"/>
          <w:color w:val="595959"/>
        </w:rPr>
        <w:t>David Mack</w:t>
      </w:r>
    </w:p>
    <w:p>
      <w:pPr>
        <w:spacing w:after="0" w:line="13" w:lineRule="exact"/>
        <w:rPr>
          <w:sz w:val="20"/>
          <w:szCs w:val="20"/>
          <w:color w:val="auto"/>
        </w:rPr>
      </w:pPr>
    </w:p>
    <w:p>
      <w:pPr>
        <w:ind w:left="5340"/>
        <w:spacing w:after="0"/>
        <w:rPr>
          <w:sz w:val="20"/>
          <w:szCs w:val="20"/>
          <w:color w:val="auto"/>
        </w:rPr>
      </w:pPr>
      <w:r>
        <w:rPr>
          <w:rFonts w:ascii="Arial" w:cs="Arial" w:eastAsia="Arial" w:hAnsi="Arial"/>
          <w:sz w:val="20"/>
          <w:szCs w:val="20"/>
          <w:color w:val="595959"/>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00"/>
        <w:spacing w:after="0"/>
        <w:rPr>
          <w:sz w:val="20"/>
          <w:szCs w:val="20"/>
          <w:color w:val="auto"/>
        </w:rPr>
      </w:pPr>
      <w:r>
        <w:rPr>
          <w:rFonts w:ascii="Arial" w:cs="Arial" w:eastAsia="Arial" w:hAnsi="Arial"/>
          <w:sz w:val="20"/>
          <w:szCs w:val="20"/>
          <w:color w:val="595959"/>
        </w:rPr>
        <w:t>Agreed to and accepted:</w:t>
      </w:r>
    </w:p>
    <w:p>
      <w:pPr>
        <w:spacing w:after="0" w:line="202" w:lineRule="exact"/>
        <w:rPr>
          <w:sz w:val="20"/>
          <w:szCs w:val="20"/>
          <w:color w:val="auto"/>
        </w:rPr>
      </w:pPr>
    </w:p>
    <w:p>
      <w:pPr>
        <w:ind w:left="100"/>
        <w:spacing w:after="0"/>
        <w:rPr>
          <w:sz w:val="20"/>
          <w:szCs w:val="20"/>
          <w:color w:val="auto"/>
        </w:rPr>
      </w:pPr>
      <w:r>
        <w:rPr>
          <w:rFonts w:ascii="Arial" w:cs="Arial" w:eastAsia="Arial" w:hAnsi="Arial"/>
          <w:sz w:val="20"/>
          <w:szCs w:val="20"/>
          <w:color w:val="595959"/>
        </w:rPr>
        <w:t>Signature:</w:t>
      </w:r>
    </w:p>
    <w:p>
      <w:pPr>
        <w:ind w:left="120"/>
        <w:spacing w:after="0" w:line="229" w:lineRule="auto"/>
        <w:rPr>
          <w:sz w:val="20"/>
          <w:szCs w:val="20"/>
          <w:color w:val="auto"/>
        </w:rPr>
      </w:pPr>
      <w:r>
        <w:rPr>
          <w:rFonts w:ascii="Arial" w:cs="Arial" w:eastAsia="Arial" w:hAnsi="Arial"/>
          <w:sz w:val="20"/>
          <w:szCs w:val="20"/>
          <w:color w:val="595959"/>
        </w:rPr>
        <w:t>Printed Name: Robert Ticktin Date: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20"/>
          <w:szCs w:val="20"/>
          <w:color w:val="595959"/>
        </w:rPr>
        <w:t>November 5,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598170</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440" w:top="1292" w:right="519" w:bottom="1440" w:gutter="0" w:footer="0" w:header="0"/>
        </w:sectPr>
      </w:pPr>
    </w:p>
    <w:bookmarkStart w:id="37" w:name="page38"/>
    <w:bookmarkEnd w:id="37"/>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10.3</w:t>
      </w:r>
    </w:p>
    <w:p>
      <w:pPr>
        <w:spacing w:after="0" w:line="282" w:lineRule="exact"/>
        <w:rPr>
          <w:sz w:val="20"/>
          <w:szCs w:val="20"/>
          <w:color w:val="auto"/>
        </w:rPr>
      </w:pPr>
    </w:p>
    <w:p>
      <w:pPr>
        <w:ind w:left="2520"/>
        <w:spacing w:after="0"/>
        <w:rPr>
          <w:sz w:val="20"/>
          <w:szCs w:val="20"/>
          <w:color w:val="auto"/>
        </w:rPr>
      </w:pPr>
      <w:r>
        <w:rPr>
          <w:rFonts w:ascii="Arial" w:cs="Arial" w:eastAsia="Arial" w:hAnsi="Arial"/>
          <w:sz w:val="18"/>
          <w:szCs w:val="18"/>
          <w:b w:val="1"/>
          <w:bCs w:val="1"/>
          <w:color w:val="212121"/>
        </w:rPr>
        <w:t>Change in Control and Severance Policy (the "Policy") Amended and Restated</w:t>
      </w:r>
    </w:p>
    <w:p>
      <w:pPr>
        <w:spacing w:after="0" w:line="14"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212121"/>
        </w:rPr>
        <w:t>Participation Agreement</w:t>
      </w:r>
    </w:p>
    <w:p>
      <w:pPr>
        <w:spacing w:after="0" w:line="194" w:lineRule="exact"/>
        <w:rPr>
          <w:sz w:val="20"/>
          <w:szCs w:val="20"/>
          <w:color w:val="auto"/>
        </w:rPr>
      </w:pPr>
    </w:p>
    <w:p>
      <w:pPr>
        <w:ind w:left="60" w:right="200" w:firstLine="719"/>
        <w:spacing w:after="0" w:line="281" w:lineRule="auto"/>
        <w:rPr>
          <w:sz w:val="20"/>
          <w:szCs w:val="20"/>
          <w:color w:val="auto"/>
        </w:rPr>
      </w:pPr>
      <w:r>
        <w:rPr>
          <w:rFonts w:ascii="Arial" w:cs="Arial" w:eastAsia="Arial" w:hAnsi="Arial"/>
          <w:sz w:val="18"/>
          <w:szCs w:val="18"/>
          <w:color w:val="212121"/>
        </w:rPr>
        <w:t xml:space="preserve">This Amended and Restated Participation Agreement </w:t>
      </w:r>
      <w:r>
        <w:rPr>
          <w:rFonts w:ascii="Arial" w:cs="Arial" w:eastAsia="Arial" w:hAnsi="Arial"/>
          <w:sz w:val="18"/>
          <w:szCs w:val="18"/>
          <w:b w:val="1"/>
          <w:bCs w:val="1"/>
          <w:color w:val="212121"/>
        </w:rPr>
        <w:t>("Agreement")</w:t>
      </w:r>
      <w:r>
        <w:rPr>
          <w:rFonts w:ascii="Arial" w:cs="Arial" w:eastAsia="Arial" w:hAnsi="Arial"/>
          <w:sz w:val="18"/>
          <w:szCs w:val="18"/>
          <w:color w:val="212121"/>
        </w:rPr>
        <w:t xml:space="preserve"> is made and entered into by and between Rob Ticktin, on the one hand, and PMV Pharmaceuticals, Inc. (the </w:t>
      </w:r>
      <w:r>
        <w:rPr>
          <w:rFonts w:ascii="Arial" w:cs="Arial" w:eastAsia="Arial" w:hAnsi="Arial"/>
          <w:sz w:val="18"/>
          <w:szCs w:val="18"/>
          <w:b w:val="1"/>
          <w:bCs w:val="1"/>
          <w:color w:val="3D3D3F"/>
        </w:rPr>
        <w:t>"Company")</w:t>
      </w:r>
      <w:r>
        <w:rPr>
          <w:rFonts w:ascii="Arial" w:cs="Arial" w:eastAsia="Arial" w:hAnsi="Arial"/>
          <w:sz w:val="18"/>
          <w:szCs w:val="18"/>
          <w:color w:val="212121"/>
        </w:rPr>
        <w:t xml:space="preserve"> on the other</w:t>
      </w:r>
      <w:r>
        <w:rPr>
          <w:rFonts w:ascii="Arial" w:cs="Arial" w:eastAsia="Arial" w:hAnsi="Arial"/>
          <w:sz w:val="18"/>
          <w:szCs w:val="18"/>
          <w:color w:val="6D6D6D"/>
        </w:rPr>
        <w:t>.</w:t>
      </w:r>
    </w:p>
    <w:p>
      <w:pPr>
        <w:spacing w:after="0" w:line="136" w:lineRule="exact"/>
        <w:rPr>
          <w:sz w:val="20"/>
          <w:szCs w:val="20"/>
          <w:color w:val="auto"/>
        </w:rPr>
      </w:pPr>
    </w:p>
    <w:p>
      <w:pPr>
        <w:ind w:left="60" w:right="220" w:firstLine="719"/>
        <w:spacing w:after="0" w:line="271" w:lineRule="auto"/>
        <w:rPr>
          <w:sz w:val="20"/>
          <w:szCs w:val="20"/>
          <w:color w:val="auto"/>
        </w:rPr>
      </w:pPr>
      <w:r>
        <w:rPr>
          <w:rFonts w:ascii="Arial" w:cs="Arial" w:eastAsia="Arial" w:hAnsi="Arial"/>
          <w:sz w:val="18"/>
          <w:szCs w:val="18"/>
          <w:color w:val="212121"/>
        </w:rPr>
        <w:t>In connection with your appointment as a Company officer, you are entitled to receive certain severance benefits upon a Qualified Termination, subject to the terms and conditions of the Policy, as set forth herein.</w:t>
      </w:r>
    </w:p>
    <w:p>
      <w:pPr>
        <w:spacing w:after="0" w:line="154" w:lineRule="exact"/>
        <w:rPr>
          <w:sz w:val="20"/>
          <w:szCs w:val="20"/>
          <w:color w:val="auto"/>
        </w:rPr>
      </w:pPr>
    </w:p>
    <w:p>
      <w:pPr>
        <w:ind w:left="60" w:right="220" w:firstLine="719"/>
        <w:spacing w:after="0" w:line="271" w:lineRule="auto"/>
        <w:rPr>
          <w:sz w:val="20"/>
          <w:szCs w:val="20"/>
          <w:color w:val="auto"/>
        </w:rPr>
      </w:pPr>
      <w:r>
        <w:rPr>
          <w:rFonts w:ascii="Arial" w:cs="Arial" w:eastAsia="Arial" w:hAnsi="Arial"/>
          <w:sz w:val="18"/>
          <w:szCs w:val="18"/>
          <w:b w:val="1"/>
          <w:bCs w:val="1"/>
          <w:i w:val="1"/>
          <w:iCs w:val="1"/>
          <w:color w:val="212121"/>
        </w:rPr>
        <w:t>CIC Qualified Termination</w:t>
      </w:r>
      <w:r>
        <w:rPr>
          <w:rFonts w:ascii="Arial" w:cs="Arial" w:eastAsia="Arial" w:hAnsi="Arial"/>
          <w:sz w:val="18"/>
          <w:szCs w:val="18"/>
          <w:b w:val="1"/>
          <w:bCs w:val="1"/>
          <w:i w:val="1"/>
          <w:iCs w:val="1"/>
          <w:color w:val="5D5D5D"/>
        </w:rPr>
        <w:t>.</w:t>
      </w:r>
      <w:r>
        <w:rPr>
          <w:rFonts w:ascii="Arial" w:cs="Arial" w:eastAsia="Arial" w:hAnsi="Arial"/>
          <w:sz w:val="18"/>
          <w:szCs w:val="18"/>
          <w:b w:val="1"/>
          <w:bCs w:val="1"/>
          <w:i w:val="1"/>
          <w:iCs w:val="1"/>
          <w:color w:val="212121"/>
        </w:rPr>
        <w:t xml:space="preserve"> </w:t>
      </w:r>
      <w:r>
        <w:rPr>
          <w:rFonts w:ascii="Arial" w:cs="Arial" w:eastAsia="Arial" w:hAnsi="Arial"/>
          <w:sz w:val="18"/>
          <w:szCs w:val="18"/>
          <w:color w:val="212121"/>
        </w:rPr>
        <w:t>Upon your CIC Qualified Termination, you will be entitled to the following benefits, subject to the</w:t>
      </w:r>
      <w:r>
        <w:rPr>
          <w:rFonts w:ascii="Arial" w:cs="Arial" w:eastAsia="Arial" w:hAnsi="Arial"/>
          <w:sz w:val="18"/>
          <w:szCs w:val="18"/>
          <w:b w:val="1"/>
          <w:bCs w:val="1"/>
          <w:i w:val="1"/>
          <w:iCs w:val="1"/>
          <w:color w:val="212121"/>
        </w:rPr>
        <w:t xml:space="preserve"> </w:t>
      </w:r>
      <w:r>
        <w:rPr>
          <w:rFonts w:ascii="Arial" w:cs="Arial" w:eastAsia="Arial" w:hAnsi="Arial"/>
          <w:sz w:val="18"/>
          <w:szCs w:val="18"/>
          <w:color w:val="212121"/>
        </w:rPr>
        <w:t>terms and conditions of the Policy:</w:t>
      </w:r>
    </w:p>
    <w:p>
      <w:pPr>
        <w:spacing w:after="0" w:line="154" w:lineRule="exact"/>
        <w:rPr>
          <w:sz w:val="20"/>
          <w:szCs w:val="20"/>
          <w:color w:val="auto"/>
        </w:rPr>
      </w:pPr>
    </w:p>
    <w:p>
      <w:pPr>
        <w:ind w:left="1460" w:right="680" w:hanging="334"/>
        <w:spacing w:after="0" w:line="238" w:lineRule="auto"/>
        <w:tabs>
          <w:tab w:leader="none" w:pos="1460" w:val="left"/>
        </w:tabs>
        <w:numPr>
          <w:ilvl w:val="0"/>
          <w:numId w:val="20"/>
        </w:numPr>
        <w:rPr>
          <w:rFonts w:ascii="Times New Roman" w:cs="Times New Roman" w:eastAsia="Times New Roman" w:hAnsi="Times New Roman"/>
          <w:sz w:val="18"/>
          <w:szCs w:val="18"/>
          <w:color w:val="212121"/>
        </w:rPr>
      </w:pPr>
      <w:r>
        <w:rPr>
          <w:rFonts w:ascii="Arial" w:cs="Arial" w:eastAsia="Arial" w:hAnsi="Arial"/>
          <w:sz w:val="18"/>
          <w:szCs w:val="18"/>
          <w:b w:val="1"/>
          <w:bCs w:val="1"/>
          <w:color w:val="212121"/>
        </w:rPr>
        <w:t>Equity Vesting</w:t>
      </w:r>
      <w:r>
        <w:rPr>
          <w:rFonts w:ascii="Arial" w:cs="Arial" w:eastAsia="Arial" w:hAnsi="Arial"/>
          <w:sz w:val="18"/>
          <w:szCs w:val="18"/>
          <w:b w:val="1"/>
          <w:bCs w:val="1"/>
          <w:color w:val="5D5D5D"/>
        </w:rPr>
        <w:t>:</w:t>
      </w:r>
      <w:r>
        <w:rPr>
          <w:rFonts w:ascii="Arial" w:cs="Arial" w:eastAsia="Arial" w:hAnsi="Arial"/>
          <w:sz w:val="18"/>
          <w:szCs w:val="18"/>
          <w:b w:val="1"/>
          <w:bCs w:val="1"/>
          <w:color w:val="212121"/>
        </w:rPr>
        <w:t xml:space="preserve"> </w:t>
      </w:r>
      <w:r>
        <w:rPr>
          <w:rFonts w:ascii="Arial" w:cs="Arial" w:eastAsia="Arial" w:hAnsi="Arial"/>
          <w:sz w:val="18"/>
          <w:szCs w:val="18"/>
          <w:color w:val="212121"/>
        </w:rPr>
        <w:t>100% of the then-unvested shares subject to each of your then-outstanding equity awards will</w:t>
      </w:r>
      <w:r>
        <w:rPr>
          <w:rFonts w:ascii="Arial" w:cs="Arial" w:eastAsia="Arial" w:hAnsi="Arial"/>
          <w:sz w:val="18"/>
          <w:szCs w:val="18"/>
          <w:b w:val="1"/>
          <w:bCs w:val="1"/>
          <w:color w:val="212121"/>
        </w:rPr>
        <w:t xml:space="preserve"> </w:t>
      </w:r>
      <w:r>
        <w:rPr>
          <w:rFonts w:ascii="Arial" w:cs="Arial" w:eastAsia="Arial" w:hAnsi="Arial"/>
          <w:sz w:val="18"/>
          <w:szCs w:val="18"/>
          <w:color w:val="212121"/>
        </w:rPr>
        <w:t xml:space="preserve">immediately </w:t>
      </w:r>
      <w:r>
        <w:rPr>
          <w:rFonts w:ascii="Arial" w:cs="Arial" w:eastAsia="Arial" w:hAnsi="Arial"/>
          <w:sz w:val="18"/>
          <w:szCs w:val="18"/>
          <w:i w:val="1"/>
          <w:iCs w:val="1"/>
          <w:color w:val="212121"/>
        </w:rPr>
        <w:t>vest</w:t>
      </w:r>
      <w:r>
        <w:rPr>
          <w:rFonts w:ascii="Arial" w:cs="Arial" w:eastAsia="Arial" w:hAnsi="Arial"/>
          <w:sz w:val="18"/>
          <w:szCs w:val="18"/>
          <w:color w:val="212121"/>
        </w:rPr>
        <w:t xml:space="preserve"> and, in the case of options and stock appreciation rights, will become exercisable (for avoidance of doubt, no more than 100% of the shares subject to the outstanding portion of an equity award may </w:t>
      </w:r>
      <w:r>
        <w:rPr>
          <w:rFonts w:ascii="Arial" w:cs="Arial" w:eastAsia="Arial" w:hAnsi="Arial"/>
          <w:sz w:val="18"/>
          <w:szCs w:val="18"/>
          <w:i w:val="1"/>
          <w:iCs w:val="1"/>
          <w:color w:val="212121"/>
        </w:rPr>
        <w:t>vest</w:t>
      </w:r>
      <w:r>
        <w:rPr>
          <w:rFonts w:ascii="Arial" w:cs="Arial" w:eastAsia="Arial" w:hAnsi="Arial"/>
          <w:sz w:val="18"/>
          <w:szCs w:val="18"/>
          <w:color w:val="212121"/>
        </w:rPr>
        <w:t xml:space="preserve"> and become exercisable under this provision). In the case of equity awards with performance-based vesting, unless otherwise determined by the Company and set forth in your equity award agreement, all performance goals and other vesting criteria will be deemed achieved at 100% of target levels.</w:t>
      </w:r>
    </w:p>
    <w:p>
      <w:pPr>
        <w:ind w:left="1460" w:right="940" w:hanging="334"/>
        <w:spacing w:after="0" w:line="234" w:lineRule="auto"/>
        <w:tabs>
          <w:tab w:leader="none" w:pos="1460" w:val="left"/>
        </w:tabs>
        <w:numPr>
          <w:ilvl w:val="0"/>
          <w:numId w:val="20"/>
        </w:numPr>
        <w:rPr>
          <w:rFonts w:ascii="Times New Roman" w:cs="Times New Roman" w:eastAsia="Times New Roman" w:hAnsi="Times New Roman"/>
          <w:sz w:val="18"/>
          <w:szCs w:val="18"/>
          <w:color w:val="212121"/>
        </w:rPr>
      </w:pPr>
      <w:r>
        <w:rPr>
          <w:rFonts w:ascii="Arial" w:cs="Arial" w:eastAsia="Arial" w:hAnsi="Arial"/>
          <w:sz w:val="18"/>
          <w:szCs w:val="18"/>
          <w:b w:val="1"/>
          <w:bCs w:val="1"/>
          <w:color w:val="212121"/>
        </w:rPr>
        <w:t xml:space="preserve">Salary Severance: </w:t>
      </w:r>
      <w:r>
        <w:rPr>
          <w:rFonts w:ascii="Arial" w:cs="Arial" w:eastAsia="Arial" w:hAnsi="Arial"/>
          <w:sz w:val="18"/>
          <w:szCs w:val="18"/>
          <w:i w:val="1"/>
          <w:iCs w:val="1"/>
          <w:color w:val="212121"/>
        </w:rPr>
        <w:t>12</w:t>
      </w:r>
      <w:r>
        <w:rPr>
          <w:rFonts w:ascii="Arial" w:cs="Arial" w:eastAsia="Arial" w:hAnsi="Arial"/>
          <w:sz w:val="18"/>
          <w:szCs w:val="18"/>
          <w:b w:val="1"/>
          <w:bCs w:val="1"/>
          <w:color w:val="212121"/>
        </w:rPr>
        <w:t xml:space="preserve"> </w:t>
      </w:r>
      <w:r>
        <w:rPr>
          <w:rFonts w:ascii="Arial" w:cs="Arial" w:eastAsia="Arial" w:hAnsi="Arial"/>
          <w:sz w:val="18"/>
          <w:szCs w:val="18"/>
          <w:color w:val="212121"/>
        </w:rPr>
        <w:t>months of your Base Salary, payable in a lump sum on the 61st day following your CIC</w:t>
      </w:r>
      <w:r>
        <w:rPr>
          <w:rFonts w:ascii="Arial" w:cs="Arial" w:eastAsia="Arial" w:hAnsi="Arial"/>
          <w:sz w:val="18"/>
          <w:szCs w:val="18"/>
          <w:b w:val="1"/>
          <w:bCs w:val="1"/>
          <w:color w:val="212121"/>
        </w:rPr>
        <w:t xml:space="preserve"> </w:t>
      </w:r>
      <w:r>
        <w:rPr>
          <w:rFonts w:ascii="Arial" w:cs="Arial" w:eastAsia="Arial" w:hAnsi="Arial"/>
          <w:sz w:val="18"/>
          <w:szCs w:val="18"/>
          <w:color w:val="212121"/>
        </w:rPr>
        <w:t>Qualified Termination.</w:t>
      </w:r>
    </w:p>
    <w:p>
      <w:pPr>
        <w:ind w:left="1460" w:right="580" w:hanging="334"/>
        <w:spacing w:after="0" w:line="234" w:lineRule="auto"/>
        <w:tabs>
          <w:tab w:leader="none" w:pos="1460" w:val="left"/>
        </w:tabs>
        <w:numPr>
          <w:ilvl w:val="0"/>
          <w:numId w:val="20"/>
        </w:numPr>
        <w:rPr>
          <w:rFonts w:ascii="Times New Roman" w:cs="Times New Roman" w:eastAsia="Times New Roman" w:hAnsi="Times New Roman"/>
          <w:sz w:val="18"/>
          <w:szCs w:val="18"/>
          <w:color w:val="212121"/>
        </w:rPr>
      </w:pPr>
      <w:r>
        <w:rPr>
          <w:rFonts w:ascii="Arial" w:cs="Arial" w:eastAsia="Arial" w:hAnsi="Arial"/>
          <w:sz w:val="18"/>
          <w:szCs w:val="18"/>
          <w:b w:val="1"/>
          <w:bCs w:val="1"/>
          <w:color w:val="212121"/>
        </w:rPr>
        <w:t xml:space="preserve">Bonus Severance: </w:t>
      </w:r>
      <w:r>
        <w:rPr>
          <w:rFonts w:ascii="Arial" w:cs="Arial" w:eastAsia="Arial" w:hAnsi="Arial"/>
          <w:sz w:val="18"/>
          <w:szCs w:val="18"/>
          <w:color w:val="212121"/>
        </w:rPr>
        <w:t>100% of your target bonus for the performance year in which your CIC Qualified Termination</w:t>
      </w:r>
      <w:r>
        <w:rPr>
          <w:rFonts w:ascii="Arial" w:cs="Arial" w:eastAsia="Arial" w:hAnsi="Arial"/>
          <w:sz w:val="18"/>
          <w:szCs w:val="18"/>
          <w:b w:val="1"/>
          <w:bCs w:val="1"/>
          <w:color w:val="212121"/>
        </w:rPr>
        <w:t xml:space="preserve"> </w:t>
      </w:r>
      <w:r>
        <w:rPr>
          <w:rFonts w:ascii="Arial" w:cs="Arial" w:eastAsia="Arial" w:hAnsi="Arial"/>
          <w:sz w:val="18"/>
          <w:szCs w:val="18"/>
          <w:color w:val="212121"/>
        </w:rPr>
        <w:t xml:space="preserve">occurs, payable </w:t>
      </w:r>
      <w:r>
        <w:rPr>
          <w:rFonts w:ascii="Arial" w:cs="Arial" w:eastAsia="Arial" w:hAnsi="Arial"/>
          <w:sz w:val="18"/>
          <w:szCs w:val="18"/>
          <w:color w:val="3D3D3F"/>
        </w:rPr>
        <w:t>in</w:t>
      </w:r>
      <w:r>
        <w:rPr>
          <w:rFonts w:ascii="Arial" w:cs="Arial" w:eastAsia="Arial" w:hAnsi="Arial"/>
          <w:sz w:val="18"/>
          <w:szCs w:val="18"/>
          <w:color w:val="212121"/>
        </w:rPr>
        <w:t xml:space="preserve"> a lump sum on the 61st day following your CIC Qualified Termination.</w:t>
      </w:r>
    </w:p>
    <w:p>
      <w:pPr>
        <w:ind w:left="1460" w:right="640" w:hanging="334"/>
        <w:spacing w:after="0" w:line="249" w:lineRule="auto"/>
        <w:tabs>
          <w:tab w:leader="none" w:pos="1460" w:val="left"/>
        </w:tabs>
        <w:numPr>
          <w:ilvl w:val="0"/>
          <w:numId w:val="20"/>
        </w:numPr>
        <w:rPr>
          <w:rFonts w:ascii="Times New Roman" w:cs="Times New Roman" w:eastAsia="Times New Roman" w:hAnsi="Times New Roman"/>
          <w:sz w:val="18"/>
          <w:szCs w:val="18"/>
          <w:color w:val="212121"/>
        </w:rPr>
      </w:pPr>
      <w:r>
        <w:rPr>
          <w:rFonts w:ascii="Arial" w:cs="Arial" w:eastAsia="Arial" w:hAnsi="Arial"/>
          <w:sz w:val="18"/>
          <w:szCs w:val="18"/>
          <w:b w:val="1"/>
          <w:bCs w:val="1"/>
          <w:color w:val="212121"/>
        </w:rPr>
        <w:t xml:space="preserve">COBRA Coverage: </w:t>
      </w:r>
      <w:r>
        <w:rPr>
          <w:rFonts w:ascii="Arial" w:cs="Arial" w:eastAsia="Arial" w:hAnsi="Arial"/>
          <w:sz w:val="18"/>
          <w:szCs w:val="18"/>
          <w:color w:val="212121"/>
        </w:rPr>
        <w:t>Payment or reimbursement of the COBRA Coverage or COBRA Benefit, as applicable, for up</w:t>
      </w:r>
      <w:r>
        <w:rPr>
          <w:rFonts w:ascii="Arial" w:cs="Arial" w:eastAsia="Arial" w:hAnsi="Arial"/>
          <w:sz w:val="18"/>
          <w:szCs w:val="18"/>
          <w:b w:val="1"/>
          <w:bCs w:val="1"/>
          <w:color w:val="212121"/>
        </w:rPr>
        <w:t xml:space="preserve"> </w:t>
      </w:r>
      <w:r>
        <w:rPr>
          <w:rFonts w:ascii="Arial" w:cs="Arial" w:eastAsia="Arial" w:hAnsi="Arial"/>
          <w:sz w:val="18"/>
          <w:szCs w:val="18"/>
          <w:color w:val="212121"/>
        </w:rPr>
        <w:t>to 12 months following your CIC Qualified Termination.</w:t>
      </w:r>
    </w:p>
    <w:p>
      <w:pPr>
        <w:spacing w:after="0" w:line="173" w:lineRule="exact"/>
        <w:rPr>
          <w:sz w:val="20"/>
          <w:szCs w:val="20"/>
          <w:color w:val="auto"/>
        </w:rPr>
      </w:pPr>
    </w:p>
    <w:p>
      <w:pPr>
        <w:ind w:left="40" w:right="780" w:firstLine="719"/>
        <w:spacing w:after="0" w:line="271" w:lineRule="auto"/>
        <w:rPr>
          <w:sz w:val="20"/>
          <w:szCs w:val="20"/>
          <w:color w:val="auto"/>
        </w:rPr>
      </w:pPr>
      <w:r>
        <w:rPr>
          <w:rFonts w:ascii="Arial" w:cs="Arial" w:eastAsia="Arial" w:hAnsi="Arial"/>
          <w:sz w:val="18"/>
          <w:szCs w:val="18"/>
          <w:b w:val="1"/>
          <w:bCs w:val="1"/>
          <w:i w:val="1"/>
          <w:iCs w:val="1"/>
          <w:color w:val="212121"/>
        </w:rPr>
        <w:t xml:space="preserve">Non-CIC Qualified Termination. </w:t>
      </w:r>
      <w:r>
        <w:rPr>
          <w:rFonts w:ascii="Arial" w:cs="Arial" w:eastAsia="Arial" w:hAnsi="Arial"/>
          <w:sz w:val="18"/>
          <w:szCs w:val="18"/>
          <w:color w:val="212121"/>
        </w:rPr>
        <w:t>Upon your Non-CIC Qualified Termination, you will be entitled to the following benefits,</w:t>
      </w:r>
      <w:r>
        <w:rPr>
          <w:rFonts w:ascii="Arial" w:cs="Arial" w:eastAsia="Arial" w:hAnsi="Arial"/>
          <w:sz w:val="18"/>
          <w:szCs w:val="18"/>
          <w:b w:val="1"/>
          <w:bCs w:val="1"/>
          <w:i w:val="1"/>
          <w:iCs w:val="1"/>
          <w:color w:val="212121"/>
        </w:rPr>
        <w:t xml:space="preserve"> </w:t>
      </w:r>
      <w:r>
        <w:rPr>
          <w:rFonts w:ascii="Arial" w:cs="Arial" w:eastAsia="Arial" w:hAnsi="Arial"/>
          <w:sz w:val="18"/>
          <w:szCs w:val="18"/>
          <w:color w:val="212121"/>
        </w:rPr>
        <w:t>subject to the terms and conditions of the Policy</w:t>
      </w:r>
      <w:r>
        <w:rPr>
          <w:rFonts w:ascii="Arial" w:cs="Arial" w:eastAsia="Arial" w:hAnsi="Arial"/>
          <w:sz w:val="18"/>
          <w:szCs w:val="18"/>
          <w:color w:val="5D5D5D"/>
        </w:rPr>
        <w:t>:</w:t>
      </w:r>
    </w:p>
    <w:p>
      <w:pPr>
        <w:spacing w:after="0" w:line="154" w:lineRule="exact"/>
        <w:rPr>
          <w:sz w:val="20"/>
          <w:szCs w:val="20"/>
          <w:color w:val="auto"/>
        </w:rPr>
      </w:pPr>
    </w:p>
    <w:p>
      <w:pPr>
        <w:ind w:left="1460" w:right="600" w:hanging="334"/>
        <w:spacing w:after="0" w:line="238" w:lineRule="auto"/>
        <w:tabs>
          <w:tab w:leader="none" w:pos="1460" w:val="left"/>
        </w:tabs>
        <w:numPr>
          <w:ilvl w:val="0"/>
          <w:numId w:val="21"/>
        </w:numPr>
        <w:rPr>
          <w:rFonts w:ascii="Times New Roman" w:cs="Times New Roman" w:eastAsia="Times New Roman" w:hAnsi="Times New Roman"/>
          <w:sz w:val="18"/>
          <w:szCs w:val="18"/>
          <w:color w:val="212121"/>
        </w:rPr>
      </w:pPr>
      <w:r>
        <w:rPr>
          <w:rFonts w:ascii="Arial" w:cs="Arial" w:eastAsia="Arial" w:hAnsi="Arial"/>
          <w:sz w:val="18"/>
          <w:szCs w:val="18"/>
          <w:b w:val="1"/>
          <w:bCs w:val="1"/>
          <w:color w:val="212121"/>
        </w:rPr>
        <w:t xml:space="preserve">Equity Vesting: </w:t>
      </w:r>
      <w:r>
        <w:rPr>
          <w:rFonts w:ascii="Arial" w:cs="Arial" w:eastAsia="Arial" w:hAnsi="Arial"/>
          <w:sz w:val="18"/>
          <w:szCs w:val="18"/>
          <w:color w:val="212121"/>
        </w:rPr>
        <w:t>A number of then-unvested shares subject to each of your then- outstanding equity awards</w:t>
      </w:r>
      <w:r>
        <w:rPr>
          <w:rFonts w:ascii="Arial" w:cs="Arial" w:eastAsia="Arial" w:hAnsi="Arial"/>
          <w:sz w:val="18"/>
          <w:szCs w:val="18"/>
          <w:b w:val="1"/>
          <w:bCs w:val="1"/>
          <w:color w:val="212121"/>
        </w:rPr>
        <w:t xml:space="preserve"> </w:t>
      </w:r>
      <w:r>
        <w:rPr>
          <w:rFonts w:ascii="Arial" w:cs="Arial" w:eastAsia="Arial" w:hAnsi="Arial"/>
          <w:sz w:val="18"/>
          <w:szCs w:val="18"/>
          <w:color w:val="212121"/>
        </w:rPr>
        <w:t xml:space="preserve">(excluding equity awards with performance-based vesting and excluding any equity awards granted on or after the IPO Date) equal to the number of such shares otherwise scheduled to </w:t>
      </w:r>
      <w:r>
        <w:rPr>
          <w:rFonts w:ascii="Arial" w:cs="Arial" w:eastAsia="Arial" w:hAnsi="Arial"/>
          <w:sz w:val="18"/>
          <w:szCs w:val="18"/>
          <w:i w:val="1"/>
          <w:iCs w:val="1"/>
          <w:color w:val="212121"/>
        </w:rPr>
        <w:t>vest</w:t>
      </w:r>
      <w:r>
        <w:rPr>
          <w:rFonts w:ascii="Arial" w:cs="Arial" w:eastAsia="Arial" w:hAnsi="Arial"/>
          <w:sz w:val="18"/>
          <w:szCs w:val="18"/>
          <w:color w:val="212121"/>
        </w:rPr>
        <w:t xml:space="preserve"> during the 6-month period following the date of your Non-CIC Qualified Termination had you remained employed with the Company (or any of its subsidiaries) through such date will immediately </w:t>
      </w:r>
      <w:r>
        <w:rPr>
          <w:rFonts w:ascii="Arial" w:cs="Arial" w:eastAsia="Arial" w:hAnsi="Arial"/>
          <w:sz w:val="18"/>
          <w:szCs w:val="18"/>
          <w:i w:val="1"/>
          <w:iCs w:val="1"/>
          <w:color w:val="212121"/>
        </w:rPr>
        <w:t>vest</w:t>
      </w:r>
      <w:r>
        <w:rPr>
          <w:rFonts w:ascii="Arial" w:cs="Arial" w:eastAsia="Arial" w:hAnsi="Arial"/>
          <w:sz w:val="18"/>
          <w:szCs w:val="18"/>
          <w:color w:val="212121"/>
        </w:rPr>
        <w:t xml:space="preserve"> and, in the case of options and stock appreciation rights, will become exercisable</w:t>
      </w:r>
      <w:r>
        <w:rPr>
          <w:rFonts w:ascii="Arial" w:cs="Arial" w:eastAsia="Arial" w:hAnsi="Arial"/>
          <w:sz w:val="18"/>
          <w:szCs w:val="18"/>
          <w:color w:val="6D6D6D"/>
        </w:rPr>
        <w:t>.</w:t>
      </w:r>
    </w:p>
    <w:p>
      <w:pPr>
        <w:ind w:left="1460" w:right="660" w:hanging="334"/>
        <w:spacing w:after="0" w:line="249" w:lineRule="auto"/>
        <w:tabs>
          <w:tab w:leader="none" w:pos="1460" w:val="left"/>
        </w:tabs>
        <w:numPr>
          <w:ilvl w:val="0"/>
          <w:numId w:val="21"/>
        </w:numPr>
        <w:rPr>
          <w:rFonts w:ascii="Times New Roman" w:cs="Times New Roman" w:eastAsia="Times New Roman" w:hAnsi="Times New Roman"/>
          <w:sz w:val="18"/>
          <w:szCs w:val="18"/>
          <w:color w:val="212121"/>
        </w:rPr>
      </w:pPr>
      <w:r>
        <w:rPr>
          <w:rFonts w:ascii="Arial" w:cs="Arial" w:eastAsia="Arial" w:hAnsi="Arial"/>
          <w:sz w:val="18"/>
          <w:szCs w:val="18"/>
          <w:b w:val="1"/>
          <w:bCs w:val="1"/>
          <w:color w:val="212121"/>
        </w:rPr>
        <w:t xml:space="preserve">Salary Severance: </w:t>
      </w:r>
      <w:r>
        <w:rPr>
          <w:rFonts w:ascii="Arial" w:cs="Arial" w:eastAsia="Arial" w:hAnsi="Arial"/>
          <w:sz w:val="18"/>
          <w:szCs w:val="18"/>
          <w:color w:val="212121"/>
        </w:rPr>
        <w:t>9 months of your Base Salary, payable in a lump sum on the 61st day following your Non-CIC</w:t>
      </w:r>
      <w:r>
        <w:rPr>
          <w:rFonts w:ascii="Arial" w:cs="Arial" w:eastAsia="Arial" w:hAnsi="Arial"/>
          <w:sz w:val="18"/>
          <w:szCs w:val="18"/>
          <w:b w:val="1"/>
          <w:bCs w:val="1"/>
          <w:color w:val="212121"/>
        </w:rPr>
        <w:t xml:space="preserve"> </w:t>
      </w:r>
      <w:r>
        <w:rPr>
          <w:rFonts w:ascii="Arial" w:cs="Arial" w:eastAsia="Arial" w:hAnsi="Arial"/>
          <w:sz w:val="18"/>
          <w:szCs w:val="18"/>
          <w:color w:val="212121"/>
        </w:rPr>
        <w:t>Qualified Termination.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82828"/>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844550</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1440" w:right="339" w:bottom="1440" w:gutter="0" w:footer="0" w:header="0"/>
        </w:sectPr>
      </w:pPr>
    </w:p>
    <w:bookmarkStart w:id="38" w:name="page39"/>
    <w:bookmarkEnd w:id="38"/>
    <w:p>
      <w:pPr>
        <w:spacing w:after="0" w:line="31" w:lineRule="exact"/>
        <w:rPr>
          <w:sz w:val="20"/>
          <w:szCs w:val="20"/>
          <w:color w:val="auto"/>
        </w:rPr>
      </w:pPr>
    </w:p>
    <w:p>
      <w:pPr>
        <w:ind w:left="1460" w:hanging="334"/>
        <w:spacing w:after="0"/>
        <w:tabs>
          <w:tab w:leader="none" w:pos="1460" w:val="left"/>
        </w:tabs>
        <w:numPr>
          <w:ilvl w:val="0"/>
          <w:numId w:val="22"/>
        </w:numPr>
        <w:rPr>
          <w:rFonts w:ascii="Times New Roman" w:cs="Times New Roman" w:eastAsia="Times New Roman" w:hAnsi="Times New Roman"/>
          <w:sz w:val="18"/>
          <w:szCs w:val="18"/>
          <w:color w:val="212121"/>
        </w:rPr>
      </w:pPr>
      <w:r>
        <w:rPr>
          <w:rFonts w:ascii="Arial" w:cs="Arial" w:eastAsia="Arial" w:hAnsi="Arial"/>
          <w:sz w:val="18"/>
          <w:szCs w:val="18"/>
          <w:b w:val="1"/>
          <w:bCs w:val="1"/>
          <w:color w:val="212121"/>
        </w:rPr>
        <w:t xml:space="preserve">Bonus Severance: </w:t>
      </w:r>
      <w:r>
        <w:rPr>
          <w:rFonts w:ascii="Arial" w:cs="Arial" w:eastAsia="Arial" w:hAnsi="Arial"/>
          <w:sz w:val="18"/>
          <w:szCs w:val="18"/>
          <w:color w:val="212121"/>
        </w:rPr>
        <w:t>None</w:t>
      </w:r>
      <w:r>
        <w:rPr>
          <w:rFonts w:ascii="Arial" w:cs="Arial" w:eastAsia="Arial" w:hAnsi="Arial"/>
          <w:sz w:val="18"/>
          <w:szCs w:val="18"/>
          <w:color w:val="6D6D6D"/>
        </w:rPr>
        <w:t>.</w:t>
      </w:r>
    </w:p>
    <w:p>
      <w:pPr>
        <w:spacing w:after="0" w:line="26" w:lineRule="exact"/>
        <w:rPr>
          <w:rFonts w:ascii="Times New Roman" w:cs="Times New Roman" w:eastAsia="Times New Roman" w:hAnsi="Times New Roman"/>
          <w:sz w:val="18"/>
          <w:szCs w:val="18"/>
          <w:color w:val="212121"/>
        </w:rPr>
      </w:pPr>
    </w:p>
    <w:p>
      <w:pPr>
        <w:ind w:left="1460" w:right="440" w:hanging="334"/>
        <w:spacing w:after="0" w:line="249" w:lineRule="auto"/>
        <w:tabs>
          <w:tab w:leader="none" w:pos="1460" w:val="left"/>
        </w:tabs>
        <w:numPr>
          <w:ilvl w:val="0"/>
          <w:numId w:val="22"/>
        </w:numPr>
        <w:rPr>
          <w:rFonts w:ascii="Times New Roman" w:cs="Times New Roman" w:eastAsia="Times New Roman" w:hAnsi="Times New Roman"/>
          <w:sz w:val="18"/>
          <w:szCs w:val="18"/>
          <w:color w:val="212121"/>
        </w:rPr>
      </w:pPr>
      <w:r>
        <w:rPr>
          <w:rFonts w:ascii="Arial" w:cs="Arial" w:eastAsia="Arial" w:hAnsi="Arial"/>
          <w:sz w:val="18"/>
          <w:szCs w:val="18"/>
          <w:b w:val="1"/>
          <w:bCs w:val="1"/>
          <w:color w:val="212121"/>
        </w:rPr>
        <w:t xml:space="preserve">COBRA Coverage: </w:t>
      </w:r>
      <w:r>
        <w:rPr>
          <w:rFonts w:ascii="Arial" w:cs="Arial" w:eastAsia="Arial" w:hAnsi="Arial"/>
          <w:sz w:val="18"/>
          <w:szCs w:val="18"/>
          <w:color w:val="212121"/>
        </w:rPr>
        <w:t>Payment or reimbursement of the COBRA Coverage or COBRA Benefit, as applicable, for up</w:t>
      </w:r>
      <w:r>
        <w:rPr>
          <w:rFonts w:ascii="Arial" w:cs="Arial" w:eastAsia="Arial" w:hAnsi="Arial"/>
          <w:sz w:val="18"/>
          <w:szCs w:val="18"/>
          <w:b w:val="1"/>
          <w:bCs w:val="1"/>
          <w:color w:val="212121"/>
        </w:rPr>
        <w:t xml:space="preserve"> </w:t>
      </w:r>
      <w:r>
        <w:rPr>
          <w:rFonts w:ascii="Arial" w:cs="Arial" w:eastAsia="Arial" w:hAnsi="Arial"/>
          <w:sz w:val="18"/>
          <w:szCs w:val="18"/>
          <w:color w:val="212121"/>
        </w:rPr>
        <w:t>to 9 months following your Non-CIC Qualified Termination.</w:t>
      </w:r>
    </w:p>
    <w:p>
      <w:pPr>
        <w:spacing w:after="0" w:line="173" w:lineRule="exact"/>
        <w:rPr>
          <w:sz w:val="20"/>
          <w:szCs w:val="20"/>
          <w:color w:val="auto"/>
        </w:rPr>
      </w:pPr>
    </w:p>
    <w:p>
      <w:pPr>
        <w:ind w:left="60" w:right="20" w:firstLine="719"/>
        <w:spacing w:after="0" w:line="271" w:lineRule="auto"/>
        <w:rPr>
          <w:sz w:val="20"/>
          <w:szCs w:val="20"/>
          <w:color w:val="auto"/>
        </w:rPr>
      </w:pPr>
      <w:r>
        <w:rPr>
          <w:rFonts w:ascii="Arial" w:cs="Arial" w:eastAsia="Arial" w:hAnsi="Arial"/>
          <w:sz w:val="18"/>
          <w:szCs w:val="18"/>
          <w:b w:val="1"/>
          <w:bCs w:val="1"/>
          <w:color w:val="4D4D4D"/>
        </w:rPr>
        <w:t xml:space="preserve">"IPO </w:t>
      </w:r>
      <w:r>
        <w:rPr>
          <w:rFonts w:ascii="Arial" w:cs="Arial" w:eastAsia="Arial" w:hAnsi="Arial"/>
          <w:sz w:val="18"/>
          <w:szCs w:val="18"/>
          <w:b w:val="1"/>
          <w:bCs w:val="1"/>
          <w:color w:val="2A2A2A"/>
        </w:rPr>
        <w:t>Date"</w:t>
      </w:r>
      <w:r>
        <w:rPr>
          <w:rFonts w:ascii="Arial" w:cs="Arial" w:eastAsia="Arial" w:hAnsi="Arial"/>
          <w:sz w:val="18"/>
          <w:szCs w:val="18"/>
          <w:b w:val="1"/>
          <w:bCs w:val="1"/>
          <w:color w:val="4D4D4D"/>
        </w:rPr>
        <w:t xml:space="preserve"> </w:t>
      </w:r>
      <w:r>
        <w:rPr>
          <w:rFonts w:ascii="Arial" w:cs="Arial" w:eastAsia="Arial" w:hAnsi="Arial"/>
          <w:sz w:val="18"/>
          <w:szCs w:val="18"/>
          <w:color w:val="2A2A2A"/>
        </w:rPr>
        <w:t>means the effective date of the first registration statement that is filed by the Company and declared effective</w:t>
      </w:r>
      <w:r>
        <w:rPr>
          <w:rFonts w:ascii="Arial" w:cs="Arial" w:eastAsia="Arial" w:hAnsi="Arial"/>
          <w:sz w:val="18"/>
          <w:szCs w:val="18"/>
          <w:b w:val="1"/>
          <w:bCs w:val="1"/>
          <w:color w:val="4D4D4D"/>
        </w:rPr>
        <w:t xml:space="preserve"> </w:t>
      </w:r>
      <w:r>
        <w:rPr>
          <w:rFonts w:ascii="Arial" w:cs="Arial" w:eastAsia="Arial" w:hAnsi="Arial"/>
          <w:sz w:val="18"/>
          <w:szCs w:val="18"/>
          <w:color w:val="2A2A2A"/>
        </w:rPr>
        <w:t>pursuant to Section 12(b) of the Exchange Act of 1934, with respect to the Company's common stock</w:t>
      </w:r>
      <w:r>
        <w:rPr>
          <w:rFonts w:ascii="Arial" w:cs="Arial" w:eastAsia="Arial" w:hAnsi="Arial"/>
          <w:sz w:val="18"/>
          <w:szCs w:val="18"/>
          <w:color w:val="676767"/>
        </w:rPr>
        <w:t>.</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2A2A2A"/>
        </w:rPr>
        <w:t>Other Provisions</w:t>
      </w:r>
    </w:p>
    <w:p>
      <w:pPr>
        <w:spacing w:after="0" w:line="212" w:lineRule="exact"/>
        <w:rPr>
          <w:sz w:val="20"/>
          <w:szCs w:val="20"/>
          <w:color w:val="auto"/>
        </w:rPr>
      </w:pPr>
    </w:p>
    <w:p>
      <w:pPr>
        <w:jc w:val="both"/>
        <w:ind w:left="60" w:firstLine="719"/>
        <w:spacing w:after="0" w:line="247" w:lineRule="auto"/>
        <w:rPr>
          <w:sz w:val="20"/>
          <w:szCs w:val="20"/>
          <w:color w:val="auto"/>
        </w:rPr>
      </w:pPr>
      <w:r>
        <w:rPr>
          <w:rFonts w:ascii="Arial" w:cs="Arial" w:eastAsia="Arial" w:hAnsi="Arial"/>
          <w:sz w:val="18"/>
          <w:szCs w:val="18"/>
          <w:color w:val="2A2A2A"/>
        </w:rPr>
        <w:t>You agree that the Policy and the Agreement constitute the entire agreement of the parties hereto and supersede in their entirety all prior representations, understandings, undertakings or agreements (whether oral or written and whether expressed or implied) of the parties, and will specifically supersede any severance and/or change of control provisions of any offer letter, employment agreement, or equity award agreement entered into between you and the Company and/or any of its subsidiaries.</w:t>
      </w:r>
    </w:p>
    <w:p>
      <w:pPr>
        <w:spacing w:after="0" w:line="174" w:lineRule="exact"/>
        <w:rPr>
          <w:sz w:val="20"/>
          <w:szCs w:val="20"/>
          <w:color w:val="auto"/>
        </w:rPr>
      </w:pPr>
    </w:p>
    <w:p>
      <w:pPr>
        <w:ind w:left="40" w:right="20" w:firstLine="719"/>
        <w:spacing w:after="0" w:line="271" w:lineRule="auto"/>
        <w:rPr>
          <w:sz w:val="20"/>
          <w:szCs w:val="20"/>
          <w:color w:val="auto"/>
        </w:rPr>
      </w:pPr>
      <w:r>
        <w:rPr>
          <w:rFonts w:ascii="Arial" w:cs="Arial" w:eastAsia="Arial" w:hAnsi="Arial"/>
          <w:sz w:val="18"/>
          <w:szCs w:val="18"/>
          <w:color w:val="2A2A2A"/>
        </w:rPr>
        <w:t xml:space="preserve">This Agreement may be executed </w:t>
      </w:r>
      <w:r>
        <w:rPr>
          <w:rFonts w:ascii="Arial" w:cs="Arial" w:eastAsia="Arial" w:hAnsi="Arial"/>
          <w:sz w:val="18"/>
          <w:szCs w:val="18"/>
          <w:color w:val="4D4D4D"/>
        </w:rPr>
        <w:t>in</w:t>
      </w:r>
      <w:r>
        <w:rPr>
          <w:rFonts w:ascii="Arial" w:cs="Arial" w:eastAsia="Arial" w:hAnsi="Arial"/>
          <w:sz w:val="18"/>
          <w:szCs w:val="18"/>
          <w:color w:val="2A2A2A"/>
        </w:rPr>
        <w:t xml:space="preserve"> counterparts, each of which will be deemed an original, but all of which together will constitute one and the same instrument.</w:t>
      </w:r>
    </w:p>
    <w:p>
      <w:pPr>
        <w:spacing w:after="0" w:line="154" w:lineRule="exact"/>
        <w:rPr>
          <w:sz w:val="20"/>
          <w:szCs w:val="20"/>
          <w:color w:val="auto"/>
        </w:rPr>
      </w:pPr>
    </w:p>
    <w:p>
      <w:pPr>
        <w:ind w:left="40" w:right="40" w:firstLine="719"/>
        <w:spacing w:after="0" w:line="271" w:lineRule="auto"/>
        <w:rPr>
          <w:sz w:val="20"/>
          <w:szCs w:val="20"/>
          <w:color w:val="auto"/>
        </w:rPr>
      </w:pPr>
      <w:r>
        <w:rPr>
          <w:rFonts w:ascii="Arial" w:cs="Arial" w:eastAsia="Arial" w:hAnsi="Arial"/>
          <w:sz w:val="18"/>
          <w:szCs w:val="18"/>
          <w:color w:val="2A2A2A"/>
        </w:rPr>
        <w:t>By signing below, each of the parties signifies his, her, or its acceptance of the terms of this Agreement, in the case of the Company by its duly authorized officer, effective as of the last date set forth below</w:t>
      </w:r>
      <w:r>
        <w:rPr>
          <w:rFonts w:ascii="Arial" w:cs="Arial" w:eastAsia="Arial" w:hAnsi="Arial"/>
          <w:sz w:val="18"/>
          <w:szCs w:val="18"/>
          <w:color w:val="676767"/>
        </w:rPr>
        <w:t>.</w:t>
      </w:r>
    </w:p>
    <w:p>
      <w:pPr>
        <w:spacing w:after="0" w:line="15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i w:val="1"/>
          <w:iCs w:val="1"/>
          <w:color w:val="2A2A2A"/>
        </w:rPr>
        <w:t>[Signature Page Follows]</w:t>
      </w:r>
    </w:p>
    <w:p>
      <w:pPr>
        <w:spacing w:after="0" w:line="210" w:lineRule="exact"/>
        <w:rPr>
          <w:sz w:val="20"/>
          <w:szCs w:val="20"/>
          <w:color w:val="auto"/>
        </w:rPr>
      </w:pPr>
    </w:p>
    <w:p>
      <w:pPr>
        <w:ind w:left="40" w:right="40" w:firstLine="719"/>
        <w:spacing w:after="0" w:line="271" w:lineRule="auto"/>
        <w:rPr>
          <w:sz w:val="20"/>
          <w:szCs w:val="20"/>
          <w:color w:val="auto"/>
        </w:rPr>
      </w:pPr>
      <w:r>
        <w:rPr>
          <w:rFonts w:ascii="Arial" w:cs="Arial" w:eastAsia="Arial" w:hAnsi="Arial"/>
          <w:sz w:val="18"/>
          <w:szCs w:val="18"/>
          <w:color w:val="282828"/>
        </w:rPr>
        <w:t>By signing below, each of the parties signifies his, her, or its acceptance of the terms of this Agreement</w:t>
      </w:r>
      <w:r>
        <w:rPr>
          <w:rFonts w:ascii="Arial" w:cs="Arial" w:eastAsia="Arial" w:hAnsi="Arial"/>
          <w:sz w:val="18"/>
          <w:szCs w:val="18"/>
          <w:color w:val="525252"/>
        </w:rPr>
        <w:t>,</w:t>
      </w:r>
      <w:r>
        <w:rPr>
          <w:rFonts w:ascii="Arial" w:cs="Arial" w:eastAsia="Arial" w:hAnsi="Arial"/>
          <w:sz w:val="18"/>
          <w:szCs w:val="18"/>
          <w:color w:val="282828"/>
        </w:rPr>
        <w:t xml:space="preserve"> in the case of the Company by its duly authorized officer, effective as of the last date set forth below.</w:t>
      </w:r>
    </w:p>
    <w:p>
      <w:pPr>
        <w:spacing w:after="0" w:line="15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282828"/>
        </w:rPr>
        <w:t>PMV PHARMACEUTICALS, INC.</w:t>
      </w:r>
    </w:p>
    <w:p>
      <w:pPr>
        <w:spacing w:after="0" w:line="212" w:lineRule="exact"/>
        <w:rPr>
          <w:sz w:val="20"/>
          <w:szCs w:val="20"/>
          <w:color w:val="auto"/>
        </w:rPr>
      </w:pPr>
    </w:p>
    <w:p>
      <w:pPr>
        <w:ind w:left="680"/>
        <w:spacing w:after="0"/>
        <w:rPr>
          <w:sz w:val="20"/>
          <w:szCs w:val="20"/>
          <w:color w:val="auto"/>
        </w:rPr>
      </w:pPr>
      <w:r>
        <w:rPr>
          <w:rFonts w:ascii="Arial" w:cs="Arial" w:eastAsia="Arial" w:hAnsi="Arial"/>
          <w:sz w:val="18"/>
          <w:szCs w:val="18"/>
          <w:color w:val="282828"/>
        </w:rPr>
        <w:t>By: David Mack</w:t>
      </w:r>
    </w:p>
    <w:p>
      <w:pPr>
        <w:spacing w:after="0" w:line="63" w:lineRule="exact"/>
        <w:rPr>
          <w:sz w:val="20"/>
          <w:szCs w:val="20"/>
          <w:color w:val="auto"/>
        </w:rPr>
      </w:pPr>
    </w:p>
    <w:p>
      <w:pPr>
        <w:ind w:left="680"/>
        <w:spacing w:after="0"/>
        <w:rPr>
          <w:sz w:val="20"/>
          <w:szCs w:val="20"/>
          <w:color w:val="auto"/>
        </w:rPr>
      </w:pPr>
      <w:r>
        <w:rPr>
          <w:rFonts w:ascii="Arial" w:cs="Arial" w:eastAsia="Arial" w:hAnsi="Arial"/>
          <w:sz w:val="18"/>
          <w:szCs w:val="18"/>
          <w:color w:val="282828"/>
        </w:rPr>
        <w:t>Date</w:t>
      </w:r>
      <w:r>
        <w:rPr>
          <w:rFonts w:ascii="Arial" w:cs="Arial" w:eastAsia="Arial" w:hAnsi="Arial"/>
          <w:sz w:val="18"/>
          <w:szCs w:val="18"/>
          <w:color w:val="707070"/>
        </w:rPr>
        <w:t>: 11/5/2024</w:t>
      </w:r>
    </w:p>
    <w:p>
      <w:pPr>
        <w:spacing w:after="0" w:line="21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282828"/>
        </w:rPr>
        <w:t>ELIGIBLE EMPLOYEE</w:t>
      </w:r>
    </w:p>
    <w:p>
      <w:pPr>
        <w:spacing w:after="0" w:line="212" w:lineRule="exact"/>
        <w:rPr>
          <w:sz w:val="20"/>
          <w:szCs w:val="20"/>
          <w:color w:val="auto"/>
        </w:rPr>
      </w:pPr>
    </w:p>
    <w:p>
      <w:pPr>
        <w:ind w:left="680"/>
        <w:spacing w:after="0"/>
        <w:rPr>
          <w:sz w:val="20"/>
          <w:szCs w:val="20"/>
          <w:color w:val="auto"/>
        </w:rPr>
      </w:pPr>
      <w:r>
        <w:rPr>
          <w:rFonts w:ascii="Arial" w:cs="Arial" w:eastAsia="Arial" w:hAnsi="Arial"/>
          <w:sz w:val="18"/>
          <w:szCs w:val="18"/>
          <w:color w:val="282828"/>
        </w:rPr>
        <w:t>By</w:t>
      </w:r>
      <w:r>
        <w:rPr>
          <w:rFonts w:ascii="Arial" w:cs="Arial" w:eastAsia="Arial" w:hAnsi="Arial"/>
          <w:sz w:val="18"/>
          <w:szCs w:val="18"/>
          <w:color w:val="525252"/>
        </w:rPr>
        <w:t>: Robert Ticktin</w:t>
      </w:r>
    </w:p>
    <w:p>
      <w:pPr>
        <w:spacing w:after="0" w:line="90" w:lineRule="exact"/>
        <w:rPr>
          <w:sz w:val="20"/>
          <w:szCs w:val="20"/>
          <w:color w:val="auto"/>
        </w:rPr>
      </w:pPr>
    </w:p>
    <w:p>
      <w:pPr>
        <w:ind w:left="680"/>
        <w:spacing w:after="0"/>
        <w:rPr>
          <w:sz w:val="20"/>
          <w:szCs w:val="20"/>
          <w:color w:val="auto"/>
        </w:rPr>
      </w:pPr>
      <w:r>
        <w:rPr>
          <w:rFonts w:ascii="Arial" w:cs="Arial" w:eastAsia="Arial" w:hAnsi="Arial"/>
          <w:sz w:val="18"/>
          <w:szCs w:val="18"/>
          <w:color w:val="282828"/>
        </w:rPr>
        <w:t>Date: 11/5/2024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82828"/>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844550</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400" w:top="1440" w:right="5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H. Mack, certify that:</w:t>
      </w:r>
    </w:p>
    <w:p>
      <w:pPr>
        <w:spacing w:after="0" w:line="225" w:lineRule="exact"/>
        <w:rPr>
          <w:sz w:val="20"/>
          <w:szCs w:val="20"/>
          <w:color w:val="auto"/>
        </w:rPr>
      </w:pPr>
    </w:p>
    <w:p>
      <w:pPr>
        <w:ind w:left="520" w:hanging="512"/>
        <w:spacing w:after="0"/>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period ended March 31, 2025, of PMV Pharmaceuticals, Inc.;</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240" w:hanging="512"/>
        <w:spacing w:after="0" w:line="282" w:lineRule="auto"/>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tabs>
          <w:tab w:leader="none" w:pos="6000" w:val="left"/>
          <w:tab w:leader="none" w:pos="8160" w:val="left"/>
        </w:tabs>
        <w:rPr>
          <w:sz w:val="20"/>
          <w:szCs w:val="20"/>
          <w:color w:val="auto"/>
        </w:rPr>
      </w:pPr>
      <w:r>
        <w:rPr>
          <w:rFonts w:ascii="Times New Roman" w:cs="Times New Roman" w:eastAsia="Times New Roman" w:hAnsi="Times New Roman"/>
          <w:sz w:val="18"/>
          <w:szCs w:val="18"/>
          <w:color w:val="auto"/>
        </w:rPr>
        <w:t>Date: May 9,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David H. Mack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4102735</wp:posOffset>
            </wp:positionH>
            <wp:positionV relativeFrom="paragraph">
              <wp:posOffset>17145</wp:posOffset>
            </wp:positionV>
            <wp:extent cx="3034665"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3">
                      <a:extLst>
                        <a:ext uri="{28A0092B-C50C-407E-A947-70E740481C1C}"/>
                      </a:extLst>
                    </a:blip>
                    <a:srcRect/>
                    <a:stretch>
                      <a:fillRect/>
                    </a:stretch>
                  </pic:blipFill>
                  <pic:spPr bwMode="auto">
                    <a:xfrm>
                      <a:off x="0" y="0"/>
                      <a:ext cx="3034665" cy="8890"/>
                    </a:xfrm>
                    <a:prstGeom prst="rect">
                      <a:avLst/>
                    </a:prstGeom>
                    <a:noFill/>
                  </pic:spPr>
                </pic:pic>
              </a:graphicData>
            </a:graphic>
          </wp:anchor>
        </w:drawing>
      </w:r>
    </w:p>
    <w:p>
      <w:pPr>
        <w:spacing w:after="0" w:line="21" w:lineRule="exact"/>
        <w:rPr>
          <w:sz w:val="20"/>
          <w:szCs w:val="20"/>
          <w:color w:val="auto"/>
        </w:rPr>
      </w:pPr>
    </w:p>
    <w:p>
      <w:pPr>
        <w:jc w:val="center"/>
        <w:ind w:left="6420"/>
        <w:spacing w:after="0"/>
        <w:rPr>
          <w:sz w:val="20"/>
          <w:szCs w:val="20"/>
          <w:color w:val="auto"/>
        </w:rPr>
      </w:pPr>
      <w:r>
        <w:rPr>
          <w:rFonts w:ascii="Times New Roman" w:cs="Times New Roman" w:eastAsia="Times New Roman" w:hAnsi="Times New Roman"/>
          <w:sz w:val="18"/>
          <w:szCs w:val="18"/>
          <w:b w:val="1"/>
          <w:bCs w:val="1"/>
          <w:color w:val="auto"/>
        </w:rPr>
        <w:t>David H. Mack, Ph.D.</w:t>
      </w:r>
    </w:p>
    <w:p>
      <w:pPr>
        <w:spacing w:after="0" w:line="9" w:lineRule="exact"/>
        <w:rPr>
          <w:sz w:val="20"/>
          <w:szCs w:val="20"/>
          <w:color w:val="auto"/>
        </w:rPr>
      </w:pPr>
    </w:p>
    <w:p>
      <w:pPr>
        <w:jc w:val="center"/>
        <w:ind w:left="642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0"/>
          <w:szCs w:val="20"/>
          <w:color w:val="auto"/>
        </w:rPr>
      </w:pPr>
    </w:p>
    <w:p>
      <w:pPr>
        <w:jc w:val="center"/>
        <w:ind w:left="642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Carulli, certify that:</w:t>
      </w:r>
    </w:p>
    <w:p>
      <w:pPr>
        <w:spacing w:after="0" w:line="225" w:lineRule="exact"/>
        <w:rPr>
          <w:sz w:val="20"/>
          <w:szCs w:val="20"/>
          <w:color w:val="auto"/>
        </w:rPr>
      </w:pPr>
    </w:p>
    <w:p>
      <w:pPr>
        <w:ind w:left="520" w:hanging="512"/>
        <w:spacing w:after="0"/>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period ended March 31, 2025, of PMV Pharmaceuticals, Inc.;</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240" w:hanging="512"/>
        <w:spacing w:after="0" w:line="282" w:lineRule="auto"/>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tabs>
          <w:tab w:leader="none" w:pos="6000" w:val="left"/>
          <w:tab w:leader="none" w:pos="8140" w:val="left"/>
        </w:tabs>
        <w:rPr>
          <w:sz w:val="20"/>
          <w:szCs w:val="20"/>
          <w:color w:val="auto"/>
        </w:rPr>
      </w:pPr>
      <w:r>
        <w:rPr>
          <w:rFonts w:ascii="Times New Roman" w:cs="Times New Roman" w:eastAsia="Times New Roman" w:hAnsi="Times New Roman"/>
          <w:sz w:val="18"/>
          <w:szCs w:val="18"/>
          <w:color w:val="auto"/>
        </w:rPr>
        <w:t>Date: May 9,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Michael Carulli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4102735</wp:posOffset>
            </wp:positionH>
            <wp:positionV relativeFrom="paragraph">
              <wp:posOffset>17145</wp:posOffset>
            </wp:positionV>
            <wp:extent cx="303466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5">
                      <a:extLst>
                        <a:ext uri="{28A0092B-C50C-407E-A947-70E740481C1C}"/>
                      </a:extLst>
                    </a:blip>
                    <a:srcRect/>
                    <a:stretch>
                      <a:fillRect/>
                    </a:stretch>
                  </pic:blipFill>
                  <pic:spPr bwMode="auto">
                    <a:xfrm>
                      <a:off x="0" y="0"/>
                      <a:ext cx="3034665" cy="8255"/>
                    </a:xfrm>
                    <a:prstGeom prst="rect">
                      <a:avLst/>
                    </a:prstGeom>
                    <a:noFill/>
                  </pic:spPr>
                </pic:pic>
              </a:graphicData>
            </a:graphic>
          </wp:anchor>
        </w:drawing>
      </w:r>
    </w:p>
    <w:p>
      <w:pPr>
        <w:spacing w:after="0" w:line="21" w:lineRule="exact"/>
        <w:rPr>
          <w:sz w:val="20"/>
          <w:szCs w:val="20"/>
          <w:color w:val="auto"/>
        </w:rPr>
      </w:pPr>
    </w:p>
    <w:p>
      <w:pPr>
        <w:jc w:val="center"/>
        <w:ind w:left="6420"/>
        <w:spacing w:after="0"/>
        <w:rPr>
          <w:sz w:val="20"/>
          <w:szCs w:val="20"/>
          <w:color w:val="auto"/>
        </w:rPr>
      </w:pPr>
      <w:r>
        <w:rPr>
          <w:rFonts w:ascii="Times New Roman" w:cs="Times New Roman" w:eastAsia="Times New Roman" w:hAnsi="Times New Roman"/>
          <w:sz w:val="18"/>
          <w:szCs w:val="18"/>
          <w:b w:val="1"/>
          <w:bCs w:val="1"/>
          <w:color w:val="auto"/>
        </w:rPr>
        <w:t>Michael Carulli</w:t>
      </w:r>
    </w:p>
    <w:p>
      <w:pPr>
        <w:spacing w:after="0" w:line="9" w:lineRule="exact"/>
        <w:rPr>
          <w:sz w:val="20"/>
          <w:szCs w:val="20"/>
          <w:color w:val="auto"/>
        </w:rPr>
      </w:pPr>
    </w:p>
    <w:p>
      <w:pPr>
        <w:jc w:val="center"/>
        <w:ind w:left="642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jc w:val="center"/>
        <w:ind w:left="6420"/>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for the period ended March 31, 2025, of PMV Pharmaceuticals, Inc. (the “Company”)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tabs>
          <w:tab w:leader="none" w:pos="5660" w:val="left"/>
          <w:tab w:leader="none" w:pos="8000" w:val="left"/>
        </w:tabs>
        <w:rPr>
          <w:sz w:val="20"/>
          <w:szCs w:val="20"/>
          <w:color w:val="auto"/>
        </w:rPr>
      </w:pPr>
      <w:r>
        <w:rPr>
          <w:rFonts w:ascii="Times New Roman" w:cs="Times New Roman" w:eastAsia="Times New Roman" w:hAnsi="Times New Roman"/>
          <w:sz w:val="18"/>
          <w:szCs w:val="18"/>
          <w:color w:val="auto"/>
        </w:rPr>
        <w:t>Date: May 9,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David H. Mack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17145</wp:posOffset>
            </wp:positionV>
            <wp:extent cx="324866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7">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21" w:lineRule="exact"/>
        <w:rPr>
          <w:sz w:val="20"/>
          <w:szCs w:val="20"/>
          <w:color w:val="auto"/>
        </w:rPr>
      </w:pPr>
    </w:p>
    <w:p>
      <w:pPr>
        <w:jc w:val="center"/>
        <w:ind w:left="6100"/>
        <w:spacing w:after="0"/>
        <w:rPr>
          <w:sz w:val="20"/>
          <w:szCs w:val="20"/>
          <w:color w:val="auto"/>
        </w:rPr>
      </w:pPr>
      <w:r>
        <w:rPr>
          <w:rFonts w:ascii="Times New Roman" w:cs="Times New Roman" w:eastAsia="Times New Roman" w:hAnsi="Times New Roman"/>
          <w:sz w:val="18"/>
          <w:szCs w:val="18"/>
          <w:b w:val="1"/>
          <w:bCs w:val="1"/>
          <w:color w:val="auto"/>
        </w:rPr>
        <w:t>David H. Mack, Ph.D.</w:t>
      </w:r>
    </w:p>
    <w:p>
      <w:pPr>
        <w:spacing w:after="0" w:line="9" w:lineRule="exact"/>
        <w:rPr>
          <w:sz w:val="20"/>
          <w:szCs w:val="20"/>
          <w:color w:val="auto"/>
        </w:rPr>
      </w:pPr>
    </w:p>
    <w:p>
      <w:pPr>
        <w:jc w:val="center"/>
        <w:ind w:left="610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0"/>
          <w:szCs w:val="20"/>
          <w:color w:val="auto"/>
        </w:rPr>
      </w:pPr>
    </w:p>
    <w:p>
      <w:pPr>
        <w:jc w:val="center"/>
        <w:ind w:left="610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1158875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for the period ended March 31, 2025, of PMV Pharmaceuticals, Inc. (the “Company”)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tabs>
          <w:tab w:leader="none" w:pos="5660" w:val="left"/>
          <w:tab w:leader="none" w:pos="7980" w:val="left"/>
        </w:tabs>
        <w:rPr>
          <w:sz w:val="20"/>
          <w:szCs w:val="20"/>
          <w:color w:val="auto"/>
        </w:rPr>
      </w:pPr>
      <w:r>
        <w:rPr>
          <w:rFonts w:ascii="Times New Roman" w:cs="Times New Roman" w:eastAsia="Times New Roman" w:hAnsi="Times New Roman"/>
          <w:sz w:val="18"/>
          <w:szCs w:val="18"/>
          <w:color w:val="auto"/>
        </w:rPr>
        <w:t>Date: May 9,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Michael Carulli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17145</wp:posOffset>
            </wp:positionV>
            <wp:extent cx="324866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9">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21" w:lineRule="exact"/>
        <w:rPr>
          <w:sz w:val="20"/>
          <w:szCs w:val="20"/>
          <w:color w:val="auto"/>
        </w:rPr>
      </w:pPr>
    </w:p>
    <w:p>
      <w:pPr>
        <w:jc w:val="center"/>
        <w:ind w:left="6100"/>
        <w:spacing w:after="0"/>
        <w:rPr>
          <w:sz w:val="20"/>
          <w:szCs w:val="20"/>
          <w:color w:val="auto"/>
        </w:rPr>
      </w:pPr>
      <w:r>
        <w:rPr>
          <w:rFonts w:ascii="Times New Roman" w:cs="Times New Roman" w:eastAsia="Times New Roman" w:hAnsi="Times New Roman"/>
          <w:sz w:val="18"/>
          <w:szCs w:val="18"/>
          <w:b w:val="1"/>
          <w:bCs w:val="1"/>
          <w:color w:val="auto"/>
        </w:rPr>
        <w:t>Michael Carulli</w:t>
      </w:r>
    </w:p>
    <w:p>
      <w:pPr>
        <w:spacing w:after="0" w:line="9" w:lineRule="exact"/>
        <w:rPr>
          <w:sz w:val="20"/>
          <w:szCs w:val="20"/>
          <w:color w:val="auto"/>
        </w:rPr>
      </w:pPr>
    </w:p>
    <w:p>
      <w:pPr>
        <w:jc w:val="center"/>
        <w:ind w:left="61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jc w:val="center"/>
        <w:ind w:left="6100"/>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1158875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3" w:name="page44"/>
    <w:bookmarkEnd w:id="4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
      <w:numFmt w:val="bullet"/>
      <w:start w:val="1"/>
    </w:lvl>
  </w:abstractNum>
  <w:abstractNum w:abstractNumId="3">
    <w:nsid w:val="1BEFD79F"/>
    <w:multiLevelType w:val="hybridMultilevel"/>
    <w:lvl w:ilvl="0">
      <w:lvlJc w:val="left"/>
      <w:lvlText w:val="•"/>
      <w:numFmt w:val="bullet"/>
      <w:start w:val="1"/>
    </w:lvl>
  </w:abstractNum>
  <w:abstractNum w:abstractNumId="4">
    <w:nsid w:val="41A7C4C9"/>
    <w:multiLevelType w:val="hybridMultilevel"/>
    <w:lvl w:ilvl="0">
      <w:lvlJc w:val="left"/>
      <w:lvlText w:val="%1."/>
      <w:numFmt w:val="decimal"/>
      <w:start w:val="1"/>
    </w:lvl>
  </w:abstractNum>
  <w:abstractNum w:abstractNumId="5">
    <w:nsid w:val="6B68079A"/>
    <w:multiLevelType w:val="hybridMultilevel"/>
    <w:lvl w:ilvl="0">
      <w:lvlJc w:val="left"/>
      <w:lvlText w:val="•"/>
      <w:numFmt w:val="bullet"/>
      <w:start w:val="1"/>
    </w:lvl>
  </w:abstractNum>
  <w:abstractNum w:abstractNumId="6">
    <w:nsid w:val="4E6AFB66"/>
    <w:multiLevelType w:val="hybridMultilevel"/>
    <w:lvl w:ilvl="0">
      <w:lvlJc w:val="left"/>
      <w:lvlText w:val="•"/>
      <w:numFmt w:val="bullet"/>
      <w:start w:val="1"/>
    </w:lvl>
  </w:abstractNum>
  <w:abstractNum w:abstractNumId="7">
    <w:nsid w:val="25E45D32"/>
    <w:multiLevelType w:val="hybridMultilevel"/>
    <w:lvl w:ilvl="0">
      <w:lvlJc w:val="left"/>
      <w:lvlText w:val="•"/>
      <w:numFmt w:val="bullet"/>
      <w:start w:val="1"/>
    </w:lvl>
  </w:abstractNum>
  <w:abstractNum w:abstractNumId="8">
    <w:nsid w:val="519B500D"/>
    <w:multiLevelType w:val="hybridMultilevel"/>
    <w:lvl w:ilvl="0">
      <w:lvlJc w:val="left"/>
      <w:lvlText w:val="•"/>
      <w:numFmt w:val="bullet"/>
      <w:start w:val="1"/>
    </w:lvl>
  </w:abstractNum>
  <w:abstractNum w:abstractNumId="9">
    <w:nsid w:val="431BD7B7"/>
    <w:multiLevelType w:val="hybridMultilevel"/>
    <w:lvl w:ilvl="0">
      <w:lvlJc w:val="left"/>
      <w:lvlText w:val="†"/>
      <w:numFmt w:val="bullet"/>
      <w:start w:val="1"/>
    </w:lvl>
    <w:lvl w:ilvl="1">
      <w:lvlJc w:val="left"/>
      <w:lvlText w:val="%2"/>
      <w:numFmt w:val="decimal"/>
      <w:start w:val="104"/>
    </w:lvl>
  </w:abstractNum>
  <w:abstractNum w:abstractNumId="10">
    <w:nsid w:val="3F2DBA31"/>
    <w:multiLevelType w:val="hybridMultilevel"/>
    <w:lvl w:ilvl="0">
      <w:lvlJc w:val="left"/>
      <w:lvlText w:val="%1."/>
      <w:numFmt w:val="decimal"/>
      <w:start w:val="1"/>
    </w:lvl>
  </w:abstractNum>
  <w:abstractNum w:abstractNumId="11">
    <w:nsid w:val="7C83E458"/>
    <w:multiLevelType w:val="hybridMultilevel"/>
    <w:lvl w:ilvl="0">
      <w:lvlJc w:val="left"/>
      <w:lvlText w:val="%1."/>
      <w:numFmt w:val="decimal"/>
      <w:start w:val="2"/>
    </w:lvl>
  </w:abstractNum>
  <w:abstractNum w:abstractNumId="12">
    <w:nsid w:val="257130A3"/>
    <w:multiLevelType w:val="hybridMultilevel"/>
    <w:lvl w:ilvl="0">
      <w:lvlJc w:val="left"/>
      <w:lvlText w:val="%1."/>
      <w:numFmt w:val="decimal"/>
      <w:start w:val="3"/>
    </w:lvl>
  </w:abstractNum>
  <w:abstractNum w:abstractNumId="13">
    <w:nsid w:val="62BBD95A"/>
    <w:multiLevelType w:val="hybridMultilevel"/>
    <w:lvl w:ilvl="0">
      <w:lvlJc w:val="left"/>
      <w:lvlText w:val="%1."/>
      <w:numFmt w:val="decimal"/>
      <w:start w:val="4"/>
    </w:lvl>
  </w:abstractNum>
  <w:abstractNum w:abstractNumId="14">
    <w:nsid w:val="436C6125"/>
    <w:multiLevelType w:val="hybridMultilevel"/>
    <w:lvl w:ilvl="0">
      <w:lvlJc w:val="left"/>
      <w:lvlText w:val="%1."/>
      <w:numFmt w:val="decimal"/>
      <w:start w:val="5"/>
    </w:lvl>
  </w:abstractNum>
  <w:abstractNum w:abstractNumId="15">
    <w:nsid w:val="628C895D"/>
    <w:multiLevelType w:val="hybridMultilevel"/>
    <w:lvl w:ilvl="0">
      <w:lvlJc w:val="left"/>
      <w:lvlText w:val="%1."/>
      <w:numFmt w:val="decimal"/>
      <w:start w:val="6"/>
    </w:lvl>
  </w:abstractNum>
  <w:abstractNum w:abstractNumId="16">
    <w:nsid w:val="333AB105"/>
    <w:multiLevelType w:val="hybridMultilevel"/>
    <w:lvl w:ilvl="0">
      <w:lvlJc w:val="left"/>
      <w:lvlText w:val="%1."/>
      <w:numFmt w:val="decimal"/>
      <w:start w:val="7"/>
    </w:lvl>
  </w:abstractNum>
  <w:abstractNum w:abstractNumId="17">
    <w:nsid w:val="721DA317"/>
    <w:multiLevelType w:val="hybridMultilevel"/>
    <w:lvl w:ilvl="0">
      <w:lvlJc w:val="left"/>
      <w:lvlText w:val="%1."/>
      <w:numFmt w:val="decimal"/>
      <w:start w:val="8"/>
    </w:lvl>
    <w:lvl w:ilvl="1">
      <w:lvlJc w:val="left"/>
      <w:lvlText w:val="%2."/>
      <w:numFmt w:val="lowerLetter"/>
      <w:start w:val="1"/>
    </w:lvl>
  </w:abstractNum>
  <w:abstractNum w:abstractNumId="18">
    <w:nsid w:val="2443A858"/>
    <w:multiLevelType w:val="hybridMultilevel"/>
    <w:lvl w:ilvl="0">
      <w:lvlJc w:val="left"/>
      <w:lvlText w:val="(%1)"/>
      <w:numFmt w:val="decimal"/>
      <w:start w:val="2"/>
    </w:lvl>
  </w:abstractNum>
  <w:abstractNum w:abstractNumId="19">
    <w:nsid w:val="2D1D5AE9"/>
    <w:multiLevelType w:val="hybridMultilevel"/>
    <w:lvl w:ilvl="0">
      <w:lvlJc w:val="left"/>
      <w:lvlText w:val="•"/>
      <w:numFmt w:val="bullet"/>
      <w:start w:val="1"/>
    </w:lvl>
  </w:abstractNum>
  <w:abstractNum w:abstractNumId="20">
    <w:nsid w:val="6763845E"/>
    <w:multiLevelType w:val="hybridMultilevel"/>
    <w:lvl w:ilvl="0">
      <w:lvlJc w:val="left"/>
      <w:lvlText w:val="•"/>
      <w:numFmt w:val="bullet"/>
      <w:start w:val="1"/>
    </w:lvl>
  </w:abstractNum>
  <w:abstractNum w:abstractNumId="21">
    <w:nsid w:val="75A2A8D4"/>
    <w:multiLevelType w:val="hybridMultilevel"/>
    <w:lvl w:ilvl="0">
      <w:lvlJc w:val="left"/>
      <w:lvlText w:val="•"/>
      <w:numFmt w:val="bullet"/>
      <w:start w:val="1"/>
    </w:lvl>
  </w:abstractNum>
  <w:abstractNum w:abstractNumId="22">
    <w:nsid w:val="8EDBDAB"/>
    <w:multiLevelType w:val="hybridMultilevel"/>
    <w:lvl w:ilvl="0">
      <w:lvlJc w:val="left"/>
      <w:lvlText w:val="%1."/>
      <w:numFmt w:val="decimal"/>
      <w:start w:val="1"/>
    </w:lvl>
    <w:lvl w:ilvl="1">
      <w:lvlJc w:val="left"/>
      <w:lvlText w:val="(%2)"/>
      <w:numFmt w:val="lowerLetter"/>
      <w:start w:val="1"/>
    </w:lvl>
  </w:abstractNum>
  <w:abstractNum w:abstractNumId="23">
    <w:nsid w:val="79838CB2"/>
    <w:multiLevelType w:val="hybridMultilevel"/>
    <w:lvl w:ilvl="0">
      <w:lvlJc w:val="left"/>
      <w:lvlText w:val="%1."/>
      <w:numFmt w:val="decimal"/>
      <w:start w:val="1"/>
    </w:lvl>
    <w:lvl w:ilvl="1">
      <w:lvlJc w:val="left"/>
      <w:lvlText w:val="(%2)"/>
      <w:numFmt w:val="lowerLetter"/>
      <w:start w:val="1"/>
    </w:lvl>
  </w:abstractNum>
  <w:abstractNum w:abstractNumId="24">
    <w:nsid w:val="4353D0CD"/>
    <w:multiLevelType w:val="hybridMultilevel"/>
    <w:lvl w:ilvl="0">
      <w:lvlJc w:val="left"/>
      <w:lvlText w:val="(%1)"/>
      <w:numFmt w:val="decimal"/>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9" Type="http://schemas.openxmlformats.org/officeDocument/2006/relationships/image" Target="media/image200.png"/><Relationship Id="rId210" Type="http://schemas.openxmlformats.org/officeDocument/2006/relationships/image" Target="media/image201.png"/><Relationship Id="rId211" Type="http://schemas.openxmlformats.org/officeDocument/2006/relationships/image" Target="media/image202.png"/><Relationship Id="rId212" Type="http://schemas.openxmlformats.org/officeDocument/2006/relationships/image" Target="media/image203.png"/><Relationship Id="rId213" Type="http://schemas.openxmlformats.org/officeDocument/2006/relationships/image" Target="media/image204.png"/><Relationship Id="rId214" Type="http://schemas.openxmlformats.org/officeDocument/2006/relationships/image" Target="media/image205.png"/><Relationship Id="rId215" Type="http://schemas.openxmlformats.org/officeDocument/2006/relationships/image" Target="media/image206.png"/><Relationship Id="rId216" Type="http://schemas.openxmlformats.org/officeDocument/2006/relationships/image" Target="media/image207.png"/><Relationship Id="rId217" Type="http://schemas.openxmlformats.org/officeDocument/2006/relationships/image" Target="media/image208.jpeg"/><Relationship Id="rId218" Type="http://schemas.openxmlformats.org/officeDocument/2006/relationships/image" Target="media/image209.png"/><Relationship Id="rId219" Type="http://schemas.openxmlformats.org/officeDocument/2006/relationships/image" Target="media/image210.png"/><Relationship Id="rId220" Type="http://schemas.openxmlformats.org/officeDocument/2006/relationships/image" Target="media/image211.png"/><Relationship Id="rId221" Type="http://schemas.openxmlformats.org/officeDocument/2006/relationships/image" Target="media/image212.png"/><Relationship Id="rId222" Type="http://schemas.openxmlformats.org/officeDocument/2006/relationships/image" Target="media/image213.png"/><Relationship Id="rId223" Type="http://schemas.openxmlformats.org/officeDocument/2006/relationships/image" Target="media/image214.png"/><Relationship Id="rId224" Type="http://schemas.openxmlformats.org/officeDocument/2006/relationships/image" Target="media/image215.png"/><Relationship Id="rId225" Type="http://schemas.openxmlformats.org/officeDocument/2006/relationships/image" Target="media/image216.png"/><Relationship Id="rId226" Type="http://schemas.openxmlformats.org/officeDocument/2006/relationships/image" Target="media/image217.png"/><Relationship Id="rId227" Type="http://schemas.openxmlformats.org/officeDocument/2006/relationships/image" Target="media/image218.png"/><Relationship Id="rId228" Type="http://schemas.openxmlformats.org/officeDocument/2006/relationships/image" Target="media/image219.png"/><Relationship Id="rId229" Type="http://schemas.openxmlformats.org/officeDocument/2006/relationships/image" Target="media/image220.png"/><Relationship Id="rId230" Type="http://schemas.openxmlformats.org/officeDocument/2006/relationships/image" Target="media/image221.png"/><Relationship Id="rId207" Type="http://schemas.openxmlformats.org/officeDocument/2006/relationships/hyperlink" Target="https://www.sec.gov/Archives/edgar/data/1699382/000119312520257820/d95525dex31.htm" TargetMode="External"/><Relationship Id="rId208" Type="http://schemas.openxmlformats.org/officeDocument/2006/relationships/hyperlink" Target="https://www.sec.gov/Archives/edgar/data/1699382/000095017023020100/pmvp-ex3_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2025-05-09T07:20:43Z</dcterms:created>
  <dcterms:modified xsi:type="dcterms:W3CDTF">2025-05-09T07:20:43Z</dcterms:modified>
</cp:coreProperties>
</file>