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220980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205740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tcPr>
          <w:p>
            <w:pPr>
              <w:ind w:left="920"/>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4"/>
              <w:spacing w:after="0"/>
              <w:rPr>
                <w:sz w:val="20"/>
                <w:szCs w:val="20"/>
                <w:color w:val="auto"/>
              </w:rPr>
            </w:pPr>
            <w:r>
              <w:rPr>
                <w:rFonts w:ascii="Arial" w:cs="Arial" w:eastAsia="Arial" w:hAnsi="Arial"/>
                <w:sz w:val="18"/>
                <w:szCs w:val="18"/>
                <w:b w:val="1"/>
                <w:bCs w:val="1"/>
                <w:color w:val="auto"/>
              </w:rPr>
              <w:t>46-3218129</w:t>
            </w:r>
          </w:p>
        </w:tc>
      </w:tr>
      <w:tr>
        <w:trPr>
          <w:trHeight w:val="163"/>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87"/>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89"/>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8"/>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81" w:lineRule="auto"/>
        <w:tabs>
          <w:tab w:leader="none" w:pos="4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PMVP</w:t>
            </w:r>
          </w:p>
        </w:tc>
        <w:tc>
          <w:tcPr>
            <w:tcW w:w="14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August 9, 2023, PMV Pharmaceuticals, Inc. issued a press release announcing its financial results for the first quarter ended June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as Exhibit 99.1 to this Current Report on Form 8-K and is incorporated herein by reference.</w:t>
      </w:r>
    </w:p>
    <w:p>
      <w:pPr>
        <w:spacing w:after="0" w:line="211"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80" w:type="dxa"/>
            <w:vAlign w:val="bottom"/>
            <w:gridSpan w:val="2"/>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3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700" w:type="dxa"/>
            <w:vAlign w:val="bottom"/>
          </w:tcPr>
          <w:p>
            <w:pPr>
              <w:ind w:left="1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0000FF"/>
              </w:rPr>
              <w:t>Press Release issued by PMV Pharmaceuticals, Inc., dated August 9, 2023.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00" w:type="dxa"/>
            <w:vAlign w:val="bottom"/>
          </w:tcPr>
          <w:p>
            <w:pPr>
              <w:jc w:val="right"/>
              <w:ind w:right="279"/>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60"/>
        </w:trPr>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PMV Pharmaceuticals, Inc.</w:t>
      </w:r>
    </w:p>
    <w:p>
      <w:pPr>
        <w:spacing w:after="0" w:line="279"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Winston Kung</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Operating Officer, and</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720"/>
        <w:spacing w:after="0"/>
        <w:rPr>
          <w:sz w:val="20"/>
          <w:szCs w:val="20"/>
          <w:color w:val="auto"/>
        </w:rPr>
      </w:pPr>
      <w:r>
        <w:rPr>
          <w:rFonts w:ascii="Arial" w:cs="Arial" w:eastAsia="Arial" w:hAnsi="Arial"/>
          <w:sz w:val="20"/>
          <w:szCs w:val="20"/>
          <w:color w:val="auto"/>
        </w:rPr>
        <w:t>Ex 99.1</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Second Quarter 2023 Financial Results and Corporate Highlights</w:t>
      </w:r>
    </w:p>
    <w:p>
      <w:pPr>
        <w:spacing w:after="0" w:line="226" w:lineRule="exact"/>
        <w:rPr>
          <w:sz w:val="20"/>
          <w:szCs w:val="20"/>
          <w:color w:val="auto"/>
        </w:rPr>
      </w:pPr>
    </w:p>
    <w:p>
      <w:pPr>
        <w:ind w:left="760" w:right="60" w:hanging="303"/>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progress in ongoing Phase 1/2 PYNNACLE study of PC14586, a first-in-class precision oncology investigational therapy in patients with advanced solid tumors with a p53 Y220C mutation; updated Phase 1 data expected in 2H 2023</w:t>
      </w:r>
    </w:p>
    <w:p>
      <w:pPr>
        <w:spacing w:after="0" w:line="64" w:lineRule="exact"/>
        <w:rPr>
          <w:rFonts w:ascii="Arial" w:cs="Arial" w:eastAsia="Arial" w:hAnsi="Arial"/>
          <w:sz w:val="18"/>
          <w:szCs w:val="18"/>
          <w:color w:val="auto"/>
        </w:rPr>
      </w:pPr>
    </w:p>
    <w:p>
      <w:pPr>
        <w:ind w:left="760" w:right="340" w:hanging="303"/>
        <w:spacing w:after="0" w:line="26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Concluded successful End-of-Phase 1 FDA meeting with alignment on recommended Phase 2 dose and key elements of single arm, Phase 2 registrational portion of PYNNACLE study</w:t>
      </w:r>
    </w:p>
    <w:p>
      <w:pPr>
        <w:spacing w:after="0" w:line="68" w:lineRule="exact"/>
        <w:rPr>
          <w:rFonts w:ascii="Arial" w:cs="Arial" w:eastAsia="Arial" w:hAnsi="Arial"/>
          <w:sz w:val="18"/>
          <w:szCs w:val="18"/>
          <w:color w:val="auto"/>
        </w:rPr>
      </w:pPr>
    </w:p>
    <w:p>
      <w:pPr>
        <w:ind w:left="760" w:hanging="30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enrollment in combination arm of PYNNACLE study with PC14586 and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w:t>
      </w:r>
    </w:p>
    <w:p>
      <w:pPr>
        <w:spacing w:after="0" w:line="71" w:lineRule="exact"/>
        <w:rPr>
          <w:rFonts w:ascii="Arial" w:cs="Arial" w:eastAsia="Arial" w:hAnsi="Arial"/>
          <w:sz w:val="18"/>
          <w:szCs w:val="18"/>
          <w:color w:val="auto"/>
        </w:rPr>
      </w:pPr>
    </w:p>
    <w:p>
      <w:pPr>
        <w:ind w:left="760" w:hanging="30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Dr. Masha Poyurovsky as Vice President of Biology</w:t>
      </w:r>
    </w:p>
    <w:p>
      <w:pPr>
        <w:spacing w:after="0" w:line="200" w:lineRule="exact"/>
        <w:rPr>
          <w:sz w:val="20"/>
          <w:szCs w:val="20"/>
          <w:color w:val="auto"/>
        </w:rPr>
      </w:pPr>
    </w:p>
    <w:p>
      <w:pPr>
        <w:spacing w:after="0" w:line="22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PRINCETON, N.J., August 9, 2023 - PMV Pharmaceuticals, Inc. (Nasdaq: PMVP), a precision oncology company pioneering the discovery and development of small molecule, tumor agnostic therapies targeting p53, today reported financial results for the second quarter ended June 30, 2023, and provided a corporate update.</w:t>
      </w:r>
    </w:p>
    <w:p>
      <w:pPr>
        <w:spacing w:after="0" w:line="18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PMV recently concluded an End-of-Phase 1 meeting with the U.S. Food and Drug Administration (FDA) focused on gaining alignment with the Agency regarding the clinical and regulatory pathway for developing PC14586 for the treatment of patients with locally advanced or metastatic solid tumors that have a p53 Y220C mutation. Alignment with the FDA was obtained on the recommended Phase 2 dose as well as key elements of the Phase 2 registrational portion of the PYNNACLE trial. PMV plans to initiate the single arm, Phase 2 portion of the PYNNACLE study in early 2024.</w:t>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ongoing PYNNACLE study of PC14586 in patients with advanced solid tumors continues to make good progress,” said David Mack, Ph.D., President and Chief Executive Officer. “The positive outcome of our recently held End-of-Phase 1 meeting positions us to initiate a registrational trial for PC14586 and is an important milestone in our goal of bringing PC14586 to advanced cancer patients with a p53 Y220C mutation. Furthermore, we look forward to sharing updated Phase 1 data in the second half of the year.”</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Dr. Mack added, “We are also very pleased to welcome Dr. Masha Poyurovsky to PMV as Vice President of Biology. Her scientific expertise in p53 biology and proven track record in translational drug development make her the ideal candidate to lead our biology team. I look forward to Masha’s leadership and contributions as we continue to leverage the potential of p53 targeted therapies.”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and Recent Corporate Highlights:</w:t>
      </w:r>
    </w:p>
    <w:p>
      <w:pPr>
        <w:spacing w:after="0" w:line="225" w:lineRule="exact"/>
        <w:rPr>
          <w:sz w:val="20"/>
          <w:szCs w:val="20"/>
          <w:color w:val="auto"/>
        </w:rPr>
      </w:pPr>
    </w:p>
    <w:p>
      <w:pPr>
        <w:ind w:left="380" w:right="240" w:hanging="372"/>
        <w:spacing w:after="0" w:line="22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enrollment in the combination arm of PYNNACLE evaluating PC14586 with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PMV and Merck entered into a collaboration in 2022 under the terms of which Merck will supply KEYTRUDA for this study.</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380" w:hanging="372"/>
        <w:spacing w:after="0" w:line="23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Appointed Masha Poyurovsky, Ph.D., as Vice President of Biology. Dr. Poyurovsky has more than a decade of experience leading novel platforms and a track record of advancing therapies from concept to the clinic. From 2011 to 2023, she was employed at Kadmon (acquired by Sanofi in 2021) most recently as Vice President, Discovery Biology. Prior to working in industry, she was a Research Scientist and a Postdoctoral Research Fellow at Columbia University where she conducted studies on p53 in the laboratory of Professor Carol Prives. She is the author and co-author of numerous publications and patents in the area of cancer biology and drug discovery. Dr. Poyurovsky obtained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 w:right="359" w:bottom="1440" w:gutter="0" w:footer="0" w:header="0"/>
        </w:sectPr>
      </w:pPr>
    </w:p>
    <w:bookmarkStart w:id="5" w:name="page6"/>
    <w:bookmarkEnd w:id="5"/>
    <w:p>
      <w:pPr>
        <w:ind w:left="380" w:right="460"/>
        <w:spacing w:after="0" w:line="260" w:lineRule="auto"/>
        <w:rPr>
          <w:sz w:val="20"/>
          <w:szCs w:val="20"/>
          <w:color w:val="auto"/>
        </w:rPr>
      </w:pPr>
      <w:r>
        <w:rPr>
          <w:rFonts w:ascii="Arial" w:cs="Arial" w:eastAsia="Arial" w:hAnsi="Arial"/>
          <w:sz w:val="18"/>
          <w:szCs w:val="18"/>
          <w:color w:val="auto"/>
        </w:rPr>
        <w:t>doctorate in biochemistry from Columbia University and a bachelor of science in biochemistry and biophysics from the University of Pittsburgh.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14" w:lineRule="exact"/>
        <w:rPr>
          <w:sz w:val="20"/>
          <w:szCs w:val="20"/>
          <w:color w:val="auto"/>
        </w:rPr>
      </w:pPr>
    </w:p>
    <w:p>
      <w:pPr>
        <w:ind w:left="380" w:right="12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PMV Pharma ended the second quarter with $218.8 million in cash, cash equivalents, and marketable securities, compared to $277.4 million as of June 30, 2022. Net cash used in operations was $27.9 million for the six months ended June 30, 2023, compared to $31.7 million for the six months ended June 30, 2022.</w:t>
      </w:r>
    </w:p>
    <w:p>
      <w:pPr>
        <w:spacing w:after="0" w:line="6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for the six months ended June 30, 2023, was $36.6 million compared to $35.7 million for the six months ended June 30, 2022.</w:t>
      </w:r>
    </w:p>
    <w:p>
      <w:pPr>
        <w:spacing w:after="0" w:line="120" w:lineRule="exact"/>
        <w:rPr>
          <w:rFonts w:ascii="Arial" w:cs="Arial" w:eastAsia="Arial" w:hAnsi="Arial"/>
          <w:sz w:val="18"/>
          <w:szCs w:val="18"/>
          <w:color w:val="auto"/>
        </w:rPr>
      </w:pPr>
    </w:p>
    <w:p>
      <w:pPr>
        <w:ind w:left="380" w:right="140" w:hanging="372"/>
        <w:spacing w:after="0" w:line="25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(R&amp;D) expenses were $28.9 million for the six months ended June 30, 2023, compared to $23.3 million for the six months ended June 30, 2022. The increase in R&amp;D expenses was primarily related to increased headcount and clinical expenses to advance research on PC14586, the Company’s lead drug candidate.</w:t>
      </w:r>
    </w:p>
    <w:p>
      <w:pPr>
        <w:spacing w:after="0" w:line="74" w:lineRule="exact"/>
        <w:rPr>
          <w:rFonts w:ascii="Arial" w:cs="Arial" w:eastAsia="Arial" w:hAnsi="Arial"/>
          <w:sz w:val="18"/>
          <w:szCs w:val="18"/>
          <w:color w:val="auto"/>
        </w:rPr>
      </w:pPr>
    </w:p>
    <w:p>
      <w:pPr>
        <w:ind w:left="380" w:right="180" w:hanging="372"/>
        <w:spacing w:after="0" w:line="25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(G&amp;A) expenses were $12.7 million for the six months ended June 30, 2023, compared to $13.2 million for the six months ended June 30, 2022. The decrease in G&amp;A expenses was primarily due to facility related costs now allocated to research as our new laboratory building in Princeton, New Jersey began operations.</w:t>
      </w:r>
    </w:p>
    <w:p>
      <w:pPr>
        <w:spacing w:after="0" w:line="38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KEYTRUDA® (pembrolizumab) is a registered trademark of Merck Sharp &amp; Dohme LLC., a subsidiary of Merck &amp; Co., Inc., Rahway, NJ,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77"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June 30,</w:t>
      </w:r>
    </w:p>
    <w:p>
      <w:pPr>
        <w:jc w:val="both"/>
        <w:ind w:left="8280"/>
        <w:spacing w:after="0" w:line="226" w:lineRule="auto"/>
        <w:tabs>
          <w:tab w:leader="none" w:pos="98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December 31,</w:t>
      </w:r>
    </w:p>
    <w:p>
      <w:pPr>
        <w:ind w:left="8080"/>
        <w:spacing w:after="0"/>
        <w:tabs>
          <w:tab w:leader="none" w:pos="10120" w:val="left"/>
        </w:tabs>
        <w:rPr>
          <w:sz w:val="20"/>
          <w:szCs w:val="20"/>
          <w:color w:val="auto"/>
        </w:rPr>
      </w:pPr>
      <w:r>
        <w:rPr>
          <w:rFonts w:ascii="Arial" w:cs="Arial" w:eastAsia="Arial" w:hAnsi="Arial"/>
          <w:sz w:val="14"/>
          <w:szCs w:val="14"/>
          <w:b w:val="1"/>
          <w:bCs w:val="1"/>
          <w:color w:val="auto"/>
        </w:rPr>
        <w:t>(unaudited)</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5080</wp:posOffset>
            </wp:positionV>
            <wp:extent cx="216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16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Marketable securities, current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Prepaid expenses and other current assets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Marketable securities, noncurrent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tabs>
          <w:tab w:leader="none" w:pos="980" w:val="left"/>
          <w:tab w:leader="none" w:pos="1760" w:val="left"/>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68,209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108,297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-490220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-147320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1220"/>
        <w:spacing w:after="0"/>
        <w:tabs>
          <w:tab w:leader="none" w:pos="310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23495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900"/>
        <w:spacing w:after="0"/>
        <w:tabs>
          <w:tab w:leader="none" w:pos="2780" w:val="left"/>
        </w:tabs>
        <w:rPr>
          <w:sz w:val="20"/>
          <w:szCs w:val="20"/>
          <w:color w:val="auto"/>
        </w:rPr>
      </w:pPr>
      <w:r>
        <w:rPr>
          <w:rFonts w:ascii="Arial" w:cs="Arial" w:eastAsia="Arial" w:hAnsi="Arial"/>
          <w:sz w:val="18"/>
          <w:szCs w:val="18"/>
          <w:color w:val="auto"/>
        </w:rPr>
        <w:t>118,878</w:t>
      </w:r>
      <w:r>
        <w:rPr>
          <w:sz w:val="20"/>
          <w:szCs w:val="20"/>
          <w:color w:val="auto"/>
        </w:rPr>
        <w:tab/>
      </w:r>
      <w:r>
        <w:rPr>
          <w:rFonts w:ascii="Arial" w:cs="Arial" w:eastAsia="Arial" w:hAnsi="Arial"/>
          <w:sz w:val="18"/>
          <w:szCs w:val="18"/>
          <w:color w:val="auto"/>
        </w:rPr>
        <w:t>132,757</w:t>
      </w:r>
    </w:p>
    <w:p>
      <w:pPr>
        <w:spacing w:after="0" w:line="63" w:lineRule="exact"/>
        <w:rPr>
          <w:sz w:val="20"/>
          <w:szCs w:val="20"/>
          <w:color w:val="auto"/>
        </w:rPr>
      </w:pPr>
    </w:p>
    <w:p>
      <w:pPr>
        <w:jc w:val="both"/>
        <w:ind w:left="1080"/>
        <w:spacing w:after="0"/>
        <w:tabs>
          <w:tab w:leader="none" w:pos="2960" w:val="left"/>
        </w:tabs>
        <w:rPr>
          <w:sz w:val="20"/>
          <w:szCs w:val="20"/>
          <w:color w:val="auto"/>
        </w:rPr>
      </w:pPr>
      <w:r>
        <w:rPr>
          <w:rFonts w:ascii="Arial" w:cs="Arial" w:eastAsia="Arial" w:hAnsi="Arial"/>
          <w:sz w:val="18"/>
          <w:szCs w:val="18"/>
          <w:color w:val="auto"/>
        </w:rPr>
        <w:t>2,504</w:t>
      </w:r>
      <w:r>
        <w:rPr>
          <w:sz w:val="20"/>
          <w:szCs w:val="20"/>
          <w:color w:val="auto"/>
        </w:rPr>
        <w:tab/>
      </w:r>
      <w:r>
        <w:rPr>
          <w:rFonts w:ascii="Arial" w:cs="Arial" w:eastAsia="Arial" w:hAnsi="Arial"/>
          <w:sz w:val="18"/>
          <w:szCs w:val="18"/>
          <w:color w:val="auto"/>
        </w:rPr>
        <w:t>5,130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23495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jc w:val="both"/>
        <w:ind w:left="900"/>
        <w:spacing w:after="0"/>
        <w:tabs>
          <w:tab w:leader="none" w:pos="2780" w:val="left"/>
        </w:tabs>
        <w:rPr>
          <w:sz w:val="20"/>
          <w:szCs w:val="20"/>
          <w:color w:val="auto"/>
        </w:rPr>
      </w:pPr>
      <w:r>
        <w:rPr>
          <w:rFonts w:ascii="Arial" w:cs="Arial" w:eastAsia="Arial" w:hAnsi="Arial"/>
          <w:sz w:val="18"/>
          <w:szCs w:val="18"/>
          <w:color w:val="auto"/>
        </w:rPr>
        <w:t>190,413</w:t>
      </w:r>
      <w:r>
        <w:rPr>
          <w:sz w:val="20"/>
          <w:szCs w:val="20"/>
          <w:color w:val="auto"/>
        </w:rPr>
        <w:tab/>
      </w:r>
      <w:r>
        <w:rPr>
          <w:rFonts w:ascii="Arial" w:cs="Arial" w:eastAsia="Arial" w:hAnsi="Arial"/>
          <w:sz w:val="18"/>
          <w:szCs w:val="18"/>
          <w:color w:val="auto"/>
        </w:rPr>
        <w:t>247,006</w:t>
      </w:r>
    </w:p>
    <w:p>
      <w:pPr>
        <w:spacing w:after="0" w:line="63" w:lineRule="exact"/>
        <w:rPr>
          <w:sz w:val="20"/>
          <w:szCs w:val="20"/>
          <w:color w:val="auto"/>
        </w:rPr>
      </w:pPr>
    </w:p>
    <w:p>
      <w:pPr>
        <w:jc w:val="both"/>
        <w:ind w:left="1000"/>
        <w:spacing w:after="0"/>
        <w:tabs>
          <w:tab w:leader="none" w:pos="2880" w:val="left"/>
        </w:tabs>
        <w:rPr>
          <w:sz w:val="20"/>
          <w:szCs w:val="20"/>
          <w:color w:val="auto"/>
        </w:rPr>
      </w:pPr>
      <w:r>
        <w:rPr>
          <w:rFonts w:ascii="Arial" w:cs="Arial" w:eastAsia="Arial" w:hAnsi="Arial"/>
          <w:sz w:val="18"/>
          <w:szCs w:val="18"/>
          <w:color w:val="auto"/>
        </w:rPr>
        <w:t>11,136</w:t>
      </w:r>
      <w:r>
        <w:rPr>
          <w:sz w:val="20"/>
          <w:szCs w:val="20"/>
          <w:color w:val="auto"/>
        </w:rPr>
        <w:tab/>
      </w:r>
      <w:r>
        <w:rPr>
          <w:rFonts w:ascii="Arial" w:cs="Arial" w:eastAsia="Arial" w:hAnsi="Arial"/>
          <w:sz w:val="18"/>
          <w:szCs w:val="18"/>
          <w:color w:val="auto"/>
        </w:rPr>
        <w:t>10,955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23495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1000"/>
        <w:spacing w:after="0"/>
        <w:tabs>
          <w:tab w:leader="none" w:pos="2960" w:val="left"/>
        </w:tabs>
        <w:rPr>
          <w:sz w:val="20"/>
          <w:szCs w:val="20"/>
          <w:color w:val="auto"/>
        </w:rPr>
      </w:pPr>
      <w:r>
        <w:rPr>
          <w:rFonts w:ascii="Arial" w:cs="Arial" w:eastAsia="Arial" w:hAnsi="Arial"/>
          <w:sz w:val="18"/>
          <w:szCs w:val="18"/>
          <w:color w:val="auto"/>
        </w:rPr>
        <w:t>31,757</w:t>
      </w:r>
      <w:r>
        <w:rPr>
          <w:sz w:val="20"/>
          <w:szCs w:val="20"/>
          <w:color w:val="auto"/>
        </w:rPr>
        <w:tab/>
      </w:r>
      <w:r>
        <w:rPr>
          <w:rFonts w:ascii="Arial" w:cs="Arial" w:eastAsia="Arial" w:hAnsi="Arial"/>
          <w:sz w:val="18"/>
          <w:szCs w:val="18"/>
          <w:color w:val="auto"/>
        </w:rPr>
        <w:t>2,495</w:t>
      </w:r>
    </w:p>
    <w:p>
      <w:pPr>
        <w:spacing w:after="0" w:line="63" w:lineRule="exact"/>
        <w:rPr>
          <w:sz w:val="20"/>
          <w:szCs w:val="20"/>
          <w:color w:val="auto"/>
        </w:rPr>
      </w:pPr>
    </w:p>
    <w:p>
      <w:pPr>
        <w:jc w:val="both"/>
        <w:ind w:left="1080"/>
        <w:spacing w:after="0"/>
        <w:tabs>
          <w:tab w:leader="none" w:pos="2960" w:val="left"/>
        </w:tabs>
        <w:rPr>
          <w:sz w:val="20"/>
          <w:szCs w:val="20"/>
          <w:color w:val="auto"/>
        </w:rPr>
      </w:pPr>
      <w:r>
        <w:rPr>
          <w:rFonts w:ascii="Arial" w:cs="Arial" w:eastAsia="Arial" w:hAnsi="Arial"/>
          <w:sz w:val="18"/>
          <w:szCs w:val="18"/>
          <w:color w:val="auto"/>
        </w:rPr>
        <w:t>8,729</w:t>
      </w:r>
      <w:r>
        <w:rPr>
          <w:sz w:val="20"/>
          <w:szCs w:val="20"/>
          <w:color w:val="auto"/>
        </w:rPr>
        <w:tab/>
      </w:r>
      <w:r>
        <w:rPr>
          <w:rFonts w:ascii="Arial" w:cs="Arial" w:eastAsia="Arial" w:hAnsi="Arial"/>
          <w:sz w:val="18"/>
          <w:szCs w:val="18"/>
          <w:color w:val="auto"/>
        </w:rPr>
        <w:t>9,539</w:t>
      </w:r>
    </w:p>
    <w:p>
      <w:pPr>
        <w:spacing w:after="0" w:line="43" w:lineRule="exact"/>
        <w:rPr>
          <w:sz w:val="20"/>
          <w:szCs w:val="20"/>
          <w:color w:val="auto"/>
        </w:rPr>
      </w:pPr>
    </w:p>
    <w:p>
      <w:pPr>
        <w:sectPr>
          <w:pgSz w:w="11900" w:h="16838" w:orient="portrait"/>
          <w:cols w:equalWidth="0" w:num="2">
            <w:col w:w="6980" w:space="720"/>
            <w:col w:w="3540"/>
          </w:cols>
          <w:pgMar w:left="320" w:top="472"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64"/>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242,216</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270,308</w:t>
            </w:r>
          </w:p>
        </w:tc>
        <w:tc>
          <w:tcPr>
            <w:tcW w:w="140" w:type="dxa"/>
            <w:vAlign w:val="bottom"/>
          </w:tcPr>
          <w:p>
            <w:pPr>
              <w:spacing w:after="0"/>
              <w:rPr>
                <w:sz w:val="22"/>
                <w:szCs w:val="22"/>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7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8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40" w:type="dxa"/>
            <w:vAlign w:val="bottom"/>
            <w:shd w:val="clear" w:color="auto" w:fill="CFF0FC"/>
          </w:tcPr>
          <w:p>
            <w:pPr>
              <w:spacing w:after="0"/>
              <w:rPr>
                <w:sz w:val="23"/>
                <w:szCs w:val="23"/>
                <w:color w:val="auto"/>
              </w:rPr>
            </w:pPr>
          </w:p>
        </w:tc>
      </w:tr>
      <w:tr>
        <w:trPr>
          <w:trHeight w:val="263"/>
        </w:trPr>
        <w:tc>
          <w:tcPr>
            <w:tcW w:w="7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7,940</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7,308</w:t>
            </w:r>
          </w:p>
        </w:tc>
        <w:tc>
          <w:tcPr>
            <w:tcW w:w="140" w:type="dxa"/>
            <w:vAlign w:val="bottom"/>
          </w:tcPr>
          <w:p>
            <w:pPr>
              <w:spacing w:after="0"/>
              <w:rPr>
                <w:sz w:val="22"/>
                <w:szCs w:val="22"/>
                <w:color w:val="auto"/>
              </w:rPr>
            </w:pPr>
          </w:p>
        </w:tc>
      </w:tr>
      <w:tr>
        <w:trPr>
          <w:trHeight w:val="27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5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63"/>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11,447</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10,832</w:t>
            </w:r>
          </w:p>
        </w:tc>
        <w:tc>
          <w:tcPr>
            <w:tcW w:w="140" w:type="dxa"/>
            <w:vAlign w:val="bottom"/>
          </w:tcPr>
          <w:p>
            <w:pPr>
              <w:spacing w:after="0"/>
              <w:rPr>
                <w:sz w:val="22"/>
                <w:szCs w:val="22"/>
                <w:color w:val="auto"/>
              </w:rPr>
            </w:pPr>
          </w:p>
        </w:tc>
      </w:tr>
      <w:tr>
        <w:trPr>
          <w:trHeight w:val="27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5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12,960</w:t>
            </w:r>
          </w:p>
        </w:tc>
        <w:tc>
          <w:tcPr>
            <w:tcW w:w="28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57"/>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24,407</w:t>
            </w: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24,280</w:t>
            </w: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-1585595</wp:posOffset>
            </wp:positionV>
            <wp:extent cx="8572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-1585595</wp:posOffset>
            </wp:positionV>
            <wp:extent cx="8572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-522605</wp:posOffset>
            </wp:positionV>
            <wp:extent cx="8572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225488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54885" cy="18859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other comprehensive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stockholders’ equity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495,744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487,516</w:t>
            </w:r>
          </w:p>
        </w:tc>
        <w:tc>
          <w:tcPr>
            <w:tcW w:w="80" w:type="dxa"/>
            <w:vAlign w:val="bottom"/>
          </w:tcPr>
          <w:p>
            <w:pPr>
              <w:spacing w:after="0"/>
              <w:rPr>
                <w:sz w:val="20"/>
                <w:szCs w:val="20"/>
                <w:color w:val="auto"/>
              </w:rPr>
            </w:pPr>
          </w:p>
        </w:tc>
      </w:tr>
      <w:tr>
        <w:trPr>
          <w:trHeight w:val="270"/>
        </w:trPr>
        <w:tc>
          <w:tcPr>
            <w:tcW w:w="4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(277,607 )</w:t>
            </w:r>
          </w:p>
        </w:tc>
        <w:tc>
          <w:tcPr>
            <w:tcW w:w="52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(241,043 )</w:t>
            </w:r>
          </w:p>
        </w:tc>
      </w:tr>
      <w:tr>
        <w:trPr>
          <w:trHeight w:val="277"/>
        </w:trPr>
        <w:tc>
          <w:tcPr>
            <w:tcW w:w="4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(328 )</w:t>
            </w:r>
          </w:p>
        </w:tc>
        <w:tc>
          <w:tcPr>
            <w:tcW w:w="5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(445 )</w:t>
            </w:r>
          </w:p>
        </w:tc>
      </w:tr>
      <w:tr>
        <w:trPr>
          <w:trHeight w:val="264"/>
        </w:trPr>
        <w:tc>
          <w:tcPr>
            <w:tcW w:w="4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217,809</w:t>
            </w:r>
          </w:p>
        </w:tc>
        <w:tc>
          <w:tcPr>
            <w:tcW w:w="2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246,028</w:t>
            </w:r>
          </w:p>
        </w:tc>
        <w:tc>
          <w:tcPr>
            <w:tcW w:w="80" w:type="dxa"/>
            <w:vAlign w:val="bottom"/>
          </w:tcPr>
          <w:p>
            <w:pPr>
              <w:spacing w:after="0"/>
              <w:rPr>
                <w:sz w:val="22"/>
                <w:szCs w:val="22"/>
                <w:color w:val="auto"/>
              </w:rPr>
            </w:pPr>
          </w:p>
        </w:tc>
      </w:tr>
      <w:tr>
        <w:trPr>
          <w:trHeight w:val="26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242,216</w:t>
            </w:r>
          </w:p>
        </w:tc>
        <w:tc>
          <w:tcPr>
            <w:tcW w:w="28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80" w:type="dxa"/>
            <w:vAlign w:val="bottom"/>
          </w:tcPr>
          <w:p>
            <w:pPr>
              <w:spacing w:after="0"/>
              <w:rPr>
                <w:sz w:val="22"/>
                <w:szCs w:val="2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-1071245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-728345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-376555</wp:posOffset>
            </wp:positionV>
            <wp:extent cx="71323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544830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960" w:space="720"/>
            <w:col w:w="3560"/>
          </w:cols>
          <w:pgMar w:left="320" w:top="472" w:right="339" w:bottom="1440" w:gutter="0" w:footer="0" w:header="0"/>
          <w:type w:val="continuous"/>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PMV Pharmaceuticals, Inc.</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13,843</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11,462</w:t>
            </w:r>
          </w:p>
        </w:tc>
        <w:tc>
          <w:tcPr>
            <w:tcW w:w="2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28,916</w:t>
            </w:r>
          </w:p>
        </w:tc>
        <w:tc>
          <w:tcPr>
            <w:tcW w:w="2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23,297</w:t>
            </w:r>
          </w:p>
        </w:tc>
        <w:tc>
          <w:tcPr>
            <w:tcW w:w="140" w:type="dxa"/>
            <w:vAlign w:val="bottom"/>
          </w:tcPr>
          <w:p>
            <w:pPr>
              <w:spacing w:after="0"/>
              <w:rPr>
                <w:sz w:val="22"/>
                <w:szCs w:val="22"/>
                <w:color w:val="auto"/>
              </w:rPr>
            </w:pPr>
          </w:p>
        </w:tc>
      </w:tr>
      <w:tr>
        <w:trPr>
          <w:trHeight w:val="277"/>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6,279</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63"/>
        </w:trPr>
        <w:tc>
          <w:tcPr>
            <w:tcW w:w="5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41,602</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140" w:type="dxa"/>
            <w:vAlign w:val="bottom"/>
          </w:tcPr>
          <w:p>
            <w:pPr>
              <w:spacing w:after="0"/>
              <w:rPr>
                <w:sz w:val="22"/>
                <w:szCs w:val="22"/>
                <w:color w:val="auto"/>
              </w:rPr>
            </w:pPr>
          </w:p>
        </w:tc>
      </w:tr>
      <w:tr>
        <w:trPr>
          <w:trHeight w:val="263"/>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(20,122 )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(17,885 )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(41,602 )</w:t>
            </w: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(36,503 )</w:t>
            </w: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7"/>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FF0FC"/>
          </w:tcPr>
          <w:p>
            <w:pPr>
              <w:spacing w:after="0"/>
              <w:rPr>
                <w:sz w:val="24"/>
                <w:szCs w:val="24"/>
                <w:color w:val="auto"/>
              </w:rPr>
            </w:pPr>
          </w:p>
        </w:tc>
      </w:tr>
      <w:tr>
        <w:trPr>
          <w:trHeight w:val="270"/>
        </w:trPr>
        <w:tc>
          <w:tcPr>
            <w:tcW w:w="53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r>
      <w:tr>
        <w:trPr>
          <w:trHeight w:val="263"/>
        </w:trPr>
        <w:tc>
          <w:tcPr>
            <w:tcW w:w="53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57"/>
        </w:trPr>
        <w:tc>
          <w:tcPr>
            <w:tcW w:w="5360" w:type="dxa"/>
            <w:vAlign w:val="bottom"/>
          </w:tcPr>
          <w:p>
            <w:pPr>
              <w:ind w:left="200"/>
              <w:spacing w:after="0"/>
              <w:rPr>
                <w:sz w:val="20"/>
                <w:szCs w:val="20"/>
                <w:color w:val="auto"/>
              </w:rPr>
            </w:pPr>
            <w:r>
              <w:rPr>
                <w:rFonts w:ascii="Arial" w:cs="Arial" w:eastAsia="Arial" w:hAnsi="Arial"/>
                <w:sz w:val="18"/>
                <w:szCs w:val="18"/>
                <w:color w:val="auto"/>
              </w:rPr>
              <w:t>Loss before (benefit) provision for income taxes</w:t>
            </w:r>
          </w:p>
        </w:tc>
        <w:tc>
          <w:tcPr>
            <w:tcW w:w="2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(17,432 )</w:t>
            </w:r>
          </w:p>
        </w:tc>
        <w:tc>
          <w:tcPr>
            <w:tcW w:w="2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(17,312 )</w:t>
            </w:r>
          </w:p>
        </w:tc>
        <w:tc>
          <w:tcPr>
            <w:tcW w:w="26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(36,560 )</w:t>
            </w:r>
          </w:p>
        </w:tc>
        <w:tc>
          <w:tcPr>
            <w:tcW w:w="26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(35,743 )</w:t>
            </w:r>
          </w:p>
        </w:tc>
      </w:tr>
      <w:tr>
        <w:trPr>
          <w:trHeight w:val="277"/>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57"/>
        </w:trPr>
        <w:tc>
          <w:tcPr>
            <w:tcW w:w="53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(17,436 )</w:t>
            </w:r>
          </w:p>
        </w:tc>
        <w:tc>
          <w:tcPr>
            <w:tcW w:w="2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(17,310 )</w:t>
            </w:r>
          </w:p>
        </w:tc>
        <w:tc>
          <w:tcPr>
            <w:tcW w:w="26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(36,564 )</w:t>
            </w:r>
          </w:p>
        </w:tc>
        <w:tc>
          <w:tcPr>
            <w:tcW w:w="26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(35,743 )</w:t>
            </w:r>
          </w:p>
        </w:tc>
      </w:tr>
      <w:tr>
        <w:trPr>
          <w:trHeight w:val="277"/>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Unrealized (loss) gain on available for sale investments, net of tax</w:t>
            </w:r>
          </w:p>
        </w:tc>
        <w:tc>
          <w:tcPr>
            <w:tcW w:w="24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(212 )</w:t>
            </w:r>
          </w:p>
        </w:tc>
        <w:tc>
          <w:tcPr>
            <w:tcW w:w="26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(357 )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(945 )</w:t>
            </w:r>
          </w:p>
        </w:tc>
      </w:tr>
      <w:tr>
        <w:trPr>
          <w:trHeight w:val="20"/>
        </w:trPr>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(17,648 )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(17,667 )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(36,447 )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(36,688 )</w:t>
            </w: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(0.38 )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(0.80 )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(0.79 )</w:t>
            </w: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45,813,132</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45,571,067</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45,793,355</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45,518,845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865"/>
        </w:trPr>
        <w:tc>
          <w:tcPr>
            <w:tcW w:w="5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-3068320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-3068320</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-3068320</wp:posOffset>
            </wp:positionV>
            <wp:extent cx="857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-3068320</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-2014220</wp:posOffset>
            </wp:positionV>
            <wp:extent cx="8572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-2014220</wp:posOffset>
            </wp:positionV>
            <wp:extent cx="8572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-2014220</wp:posOffset>
            </wp:positionV>
            <wp:extent cx="8572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-2014220</wp:posOffset>
            </wp:positionV>
            <wp:extent cx="8572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-1662430</wp:posOffset>
            </wp:positionV>
            <wp:extent cx="8572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-1662430</wp:posOffset>
            </wp:positionV>
            <wp:extent cx="8572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-1662430</wp:posOffset>
            </wp:positionV>
            <wp:extent cx="857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-1310640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-1310640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-1310640</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-1310640</wp:posOffset>
            </wp:positionV>
            <wp:extent cx="8572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-599440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-582295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-599440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-582295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-599440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-582295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-599440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-582295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PC14586</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The U.S. Food and Drug Administration granted Fast Track designation to PC14586 for the treatment of patients with locally advanced or metastatic solid tumors that have a p53 Y220C mutation. For more information about the Phase 1/2 PYNNACLE trial (PMV-586-101), refer to www.clinicaltrials.gov (NCT study identifier NCT04585750). About PMV Pharma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Princeton, New Jersey. For more information, please visit www.pmvpharma.com.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for its Phase 1 clinical and regulatory update and the Phase 2 initiation for the PYNNACLE study, as well as expectations regarding success of its current clinical trial for PC14586 and any future commercialization plans for the product candidate.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the Company’s Quarterly Report on Form 10-Q for the three months ended March 21, 2023, filed with the SEC on May 10,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investors@pmvpharma.com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Media Contact: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Greig Communications</w:t>
      </w: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2023-08-09T07:10:40Z</dcterms:created>
  <dcterms:modified xsi:type="dcterms:W3CDTF">2023-08-09T07:10:40Z</dcterms:modified>
</cp:coreProperties>
</file>