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52705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
          <w:szCs w:val="4"/>
          <w:color w:val="auto"/>
        </w:rPr>
        <w:t>!</w:t>
      </w: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38" w:lineRule="exact"/>
        <w:rPr>
          <w:rFonts w:ascii="MS PGothic" w:cs="MS PGothic" w:eastAsia="MS PGothic" w:hAnsi="MS PGothic"/>
          <w:sz w:val="16"/>
          <w:szCs w:val="16"/>
          <w:color w:val="auto"/>
          <w:highlight w:val="black"/>
        </w:rPr>
      </w:pPr>
    </w:p>
    <w:p>
      <w:pPr>
        <w:ind w:left="39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fiscal year ended December 31, 2022</w:t>
      </w:r>
    </w:p>
    <w:p>
      <w:pPr>
        <w:spacing w:after="0" w:line="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53975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PMV PHARMACEUTICALS, INC.</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38735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6"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2"/>
        </w:trPr>
        <w:tc>
          <w:tcPr>
            <w:tcW w:w="4120" w:type="dxa"/>
            <w:vAlign w:val="bottom"/>
          </w:tcPr>
          <w:p>
            <w:pPr>
              <w:jc w:val="center"/>
              <w:ind w:right="1964"/>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020" w:type="dxa"/>
            <w:vAlign w:val="bottom"/>
          </w:tcPr>
          <w:p>
            <w:pPr>
              <w:jc w:val="center"/>
              <w:ind w:left="1986"/>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17"/>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1 Research Way</w:t>
            </w:r>
          </w:p>
        </w:tc>
        <w:tc>
          <w:tcPr>
            <w:tcW w:w="3020" w:type="dxa"/>
            <w:vAlign w:val="bottom"/>
          </w:tcPr>
          <w:p>
            <w:pPr>
              <w:spacing w:after="0"/>
              <w:rPr>
                <w:sz w:val="24"/>
                <w:szCs w:val="24"/>
                <w:color w:val="auto"/>
              </w:rPr>
            </w:pPr>
          </w:p>
        </w:tc>
      </w:t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Princeton, NJ</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08536</w:t>
            </w:r>
          </w:p>
        </w:tc>
      </w:tr>
      <w:tr>
        <w:trPr>
          <w:trHeight w:val="173"/>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-106680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$0.00001</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PMVP</w:t>
            </w:r>
          </w:p>
        </w:tc>
        <w:tc>
          <w:tcPr>
            <w:tcW w:w="120" w:type="dxa"/>
            <w:vAlign w:val="bottom"/>
          </w:tcPr>
          <w:p>
            <w:pPr>
              <w:spacing w:after="0"/>
              <w:rPr>
                <w:sz w:val="15"/>
                <w:szCs w:val="15"/>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4100"/>
        <w:spacing w:after="0" w:line="189" w:lineRule="exact"/>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 YES</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14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16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6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24" w:lineRule="exact"/>
        <w:rPr>
          <w:sz w:val="24"/>
          <w:szCs w:val="24"/>
          <w:color w:val="auto"/>
        </w:rPr>
      </w:pPr>
    </w:p>
    <w:p>
      <w:pPr>
        <w:ind w:right="18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2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22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120"/>
        <w:spacing w:after="0" w:line="164"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Nasdaq Stock Market on June 30, 2022 (the last business day of the Registrant’s most recently completed second fiscal quarter), was $543,361,107. Shares of the Registrant's common stock held by each executive officer, director and holder of 10% or more of the outstanding common stock have been excluded because such persons may be deemed affiliates. This calculation does not reflect a determination that certain persons are affiliates of the Registrant for any other purpose.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28, 2023 was 45,773,361.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26" w:lineRule="exact"/>
        <w:rPr>
          <w:sz w:val="24"/>
          <w:szCs w:val="24"/>
          <w:color w:val="auto"/>
        </w:rPr>
      </w:pPr>
    </w:p>
    <w:p>
      <w:pPr>
        <w:ind w:right="140"/>
        <w:spacing w:after="0" w:line="269"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2023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4"/>
        </w:trPr>
        <w:tc>
          <w:tcPr>
            <w:tcW w:w="11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4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2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520" w:type="dxa"/>
            <w:vAlign w:val="bottom"/>
            <w:gridSpan w:val="19"/>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92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0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8"/>
                <w:szCs w:val="18"/>
                <w:color w:val="auto"/>
              </w:rPr>
            </w:pPr>
          </w:p>
        </w:tc>
        <w:tc>
          <w:tcPr>
            <w:tcW w:w="8580" w:type="dxa"/>
            <w:vAlign w:val="bottom"/>
            <w:gridSpan w:val="21"/>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8"/>
                <w:szCs w:val="18"/>
                <w:color w:val="auto"/>
              </w:rPr>
            </w:pPr>
          </w:p>
        </w:tc>
        <w:tc>
          <w:tcPr>
            <w:tcW w:w="8580" w:type="dxa"/>
            <w:vAlign w:val="bottom"/>
            <w:gridSpan w:val="21"/>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bottom w:val="single" w:sz="8" w:color="0000EE"/>
            </w:tcBorders>
          </w:tcPr>
          <w:p>
            <w:pPr>
              <w:spacing w:after="0"/>
              <w:rPr>
                <w:sz w:val="18"/>
                <w:szCs w:val="18"/>
                <w:color w:val="auto"/>
              </w:rPr>
            </w:pPr>
          </w:p>
        </w:tc>
        <w:tc>
          <w:tcPr>
            <w:tcW w:w="5920" w:type="dxa"/>
            <w:vAlign w:val="bottom"/>
            <w:gridSpan w:val="8"/>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20" w:type="dxa"/>
            <w:vAlign w:val="bottom"/>
            <w:tcBorders>
              <w:top w:val="single" w:sz="8" w:color="0000FF"/>
            </w:tcBorders>
            <w:gridSpan w:val="10"/>
          </w:tcPr>
          <w:p>
            <w:pPr>
              <w:spacing w:after="0"/>
              <w:rPr>
                <w:sz w:val="18"/>
                <w:szCs w:val="18"/>
                <w:color w:val="auto"/>
              </w:rPr>
            </w:pPr>
          </w:p>
        </w:tc>
        <w:tc>
          <w:tcPr>
            <w:tcW w:w="278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8"/>
                <w:szCs w:val="18"/>
                <w:color w:val="auto"/>
              </w:rPr>
            </w:pPr>
          </w:p>
        </w:tc>
        <w:tc>
          <w:tcPr>
            <w:tcW w:w="794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 that Prevent Inspections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80" w:type="dxa"/>
            <w:vAlign w:val="bottom"/>
            <w:gridSpan w:val="7"/>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20" w:type="dxa"/>
            <w:vAlign w:val="bottom"/>
            <w:tcBorders>
              <w:right w:val="single" w:sz="8" w:color="0000EE"/>
            </w:tcBorders>
            <w:gridSpan w:val="1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18"/>
                <w:szCs w:val="18"/>
                <w:color w:val="auto"/>
              </w:rPr>
            </w:pPr>
          </w:p>
        </w:tc>
        <w:tc>
          <w:tcPr>
            <w:tcW w:w="200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w:t>
      </w:r>
    </w:p>
    <w:p>
      <w:pPr>
        <w:spacing w:after="0" w:line="186" w:lineRule="exact"/>
        <w:rPr>
          <w:sz w:val="20"/>
          <w:szCs w:val="20"/>
          <w:color w:val="auto"/>
        </w:rPr>
      </w:pPr>
    </w:p>
    <w:p>
      <w:pPr>
        <w:ind w:right="240" w:firstLine="644"/>
        <w:spacing w:after="0" w:line="26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“plans”, “anticipate”, “could”, “intend”, “target”, “project”, “contemplate”, “believe”, “estimate”, “predict”, “potential” or “continue” or the negative of these terms or other similar expressions. Forward-looking statements contained in this Annual Report include, but are not limited to, statements about:</w:t>
      </w:r>
    </w:p>
    <w:p>
      <w:pPr>
        <w:spacing w:after="0" w:line="69" w:lineRule="exact"/>
        <w:rPr>
          <w:sz w:val="20"/>
          <w:szCs w:val="20"/>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6" w:lineRule="exact"/>
        <w:rPr>
          <w:rFonts w:ascii="Times New Roman" w:cs="Times New Roman" w:eastAsia="Times New Roman" w:hAnsi="Times New Roman"/>
          <w:sz w:val="18"/>
          <w:szCs w:val="18"/>
          <w:color w:val="auto"/>
        </w:rPr>
      </w:pPr>
    </w:p>
    <w:p>
      <w:pPr>
        <w:ind w:left="940" w:right="26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short-term marketable securities to fund our future operating expenses and capital expenditure requirements;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6" w:lineRule="exact"/>
        <w:rPr>
          <w:rFonts w:ascii="Times New Roman" w:cs="Times New Roman" w:eastAsia="Times New Roman" w:hAnsi="Times New Roman"/>
          <w:sz w:val="18"/>
          <w:szCs w:val="18"/>
          <w:color w:val="auto"/>
        </w:rPr>
      </w:pPr>
    </w:p>
    <w:p>
      <w:pPr>
        <w:ind w:left="940" w:right="32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6" w:lineRule="exact"/>
        <w:rPr>
          <w:rFonts w:ascii="Times New Roman" w:cs="Times New Roman" w:eastAsia="Times New Roman" w:hAnsi="Times New Roman"/>
          <w:sz w:val="18"/>
          <w:szCs w:val="18"/>
          <w:color w:val="auto"/>
        </w:rPr>
      </w:pPr>
    </w:p>
    <w:p>
      <w:pPr>
        <w:ind w:left="94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6"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6" w:lineRule="exact"/>
        <w:rPr>
          <w:rFonts w:ascii="Times New Roman" w:cs="Times New Roman" w:eastAsia="Times New Roman" w:hAnsi="Times New Roman"/>
          <w:sz w:val="18"/>
          <w:szCs w:val="18"/>
          <w:color w:val="auto"/>
        </w:rPr>
      </w:pPr>
    </w:p>
    <w:p>
      <w:pPr>
        <w:ind w:left="940" w:right="30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potential future strategic collaborations with third parties and our ability to attract collaborators with development, regulatory and commercialization expertise;</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6" w:lineRule="exact"/>
        <w:rPr>
          <w:rFonts w:ascii="Times New Roman" w:cs="Times New Roman" w:eastAsia="Times New Roman" w:hAnsi="Times New Roman"/>
          <w:sz w:val="18"/>
          <w:szCs w:val="18"/>
          <w:color w:val="auto"/>
        </w:rPr>
      </w:pPr>
    </w:p>
    <w:p>
      <w:pPr>
        <w:ind w:left="940" w:right="2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w:t>
      </w:r>
    </w:p>
    <w:p>
      <w:pPr>
        <w:spacing w:after="0" w:line="54" w:lineRule="exact"/>
        <w:rPr>
          <w:rFonts w:ascii="Times New Roman" w:cs="Times New Roman" w:eastAsia="Times New Roman" w:hAnsi="Times New Roman"/>
          <w:sz w:val="18"/>
          <w:szCs w:val="18"/>
          <w:color w:val="auto"/>
        </w:rPr>
      </w:pPr>
    </w:p>
    <w:p>
      <w:pPr>
        <w:ind w:left="940" w:right="260" w:hanging="288"/>
        <w:spacing w:after="0" w:line="28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16" w:lineRule="exact"/>
        <w:rPr>
          <w:rFonts w:ascii="Times New Roman" w:cs="Times New Roman" w:eastAsia="Times New Roman" w:hAnsi="Times New Roman"/>
          <w:sz w:val="18"/>
          <w:szCs w:val="18"/>
          <w:color w:val="auto"/>
        </w:rPr>
      </w:pPr>
    </w:p>
    <w:p>
      <w:pPr>
        <w:ind w:left="940" w:right="400" w:hanging="288"/>
        <w:spacing w:after="0" w:line="265"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coronavirus disease 2019, or COVID-19, pandemic, geopolitical tensions such as the Ukraine-Russia war, macroeconomic events such as global supply chain challenges, elevated inflation and interest rates and monetary policy changes, or other related disruptions on our business</w:t>
      </w:r>
    </w:p>
    <w:p>
      <w:pPr>
        <w:spacing w:after="0" w:line="177"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“Item 1A.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continue to utilize our platform to target other p53-related cancers.</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initiated a Phase 1/2 clinical trial in October 2020. Our strategy is to seek approval under an accelerated pathway, and we believe our Phase 1/2 clinical trial has the potential to serve as a pivotal study. In October 2020, we were granted U.S. Food and Drug Administration, or FDA, Fast Track designation of PC14586 for the treatment of patients with locally advanced or metastatic solid tumors that have a p53 Y220C mutation. We presented our preliminary Phase 1 clinical data in June 2022 and we continue to enroll patients in this trial. In December 2022, we opened a separate arm within the existing Phase 1/2 clinical trial combining PC14586 with KEYTRUDA® (pembrolizumab) in collaboration with Merck and Co. In addition, we are leveraging our precision oncology platform to develop a pipeline of oral small molecule product candidates that structurally correct other p53 hotspot mutations to restore their wild-type function and product candidates that target other p53-related cancers.</w:t>
      </w:r>
    </w:p>
    <w:p>
      <w:pPr>
        <w:spacing w:after="0" w:line="186"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innovation engine consists of three complementary drivers:</w:t>
      </w:r>
    </w:p>
    <w:p>
      <w:pPr>
        <w:spacing w:after="0" w:line="117" w:lineRule="exact"/>
        <w:rPr>
          <w:sz w:val="20"/>
          <w:szCs w:val="20"/>
          <w:color w:val="auto"/>
        </w:rPr>
      </w:pPr>
    </w:p>
    <w:p>
      <w:pPr>
        <w:ind w:left="940" w:right="80" w:hanging="288"/>
        <w:spacing w:after="0" w:line="281"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understanding of, and leadership in, p53 biology that enable unique insights into drugging individual mutations as well as targeting other p53-related cancers;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design on a structural basis selective, oral small molecule product candidates; and</w:t>
      </w:r>
    </w:p>
    <w:p>
      <w:pPr>
        <w:spacing w:after="0" w:line="116" w:lineRule="exact"/>
        <w:rPr>
          <w:rFonts w:ascii="Times New Roman" w:cs="Times New Roman" w:eastAsia="Times New Roman" w:hAnsi="Times New Roman"/>
          <w:sz w:val="18"/>
          <w:szCs w:val="18"/>
          <w:color w:val="auto"/>
        </w:rPr>
      </w:pPr>
    </w:p>
    <w:p>
      <w:pPr>
        <w:ind w:left="940" w:right="80" w:hanging="288"/>
        <w:spacing w:after="0" w:line="281"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assays, screens, preclinical model systems and biomarkers that enable us to assess and optimize orally available selective small molecule drug product candidates for specific p53 mutants, and for inhibitors of wild-type p53 function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PC14586 and Pipeline</w:t>
      </w:r>
    </w:p>
    <w:p>
      <w:pPr>
        <w:spacing w:after="0" w:line="229" w:lineRule="exact"/>
        <w:rPr>
          <w:sz w:val="20"/>
          <w:szCs w:val="20"/>
          <w:color w:val="auto"/>
        </w:rPr>
      </w:pPr>
    </w:p>
    <w:p>
      <w:pPr>
        <w:ind w:right="240" w:firstLine="644"/>
        <w:spacing w:after="0" w:line="265" w:lineRule="auto"/>
        <w:rPr>
          <w:sz w:val="20"/>
          <w:szCs w:val="20"/>
          <w:color w:val="auto"/>
        </w:rPr>
      </w:pPr>
      <w:r>
        <w:rPr>
          <w:rFonts w:ascii="Times New Roman" w:cs="Times New Roman" w:eastAsia="Times New Roman" w:hAnsi="Times New Roman"/>
          <w:sz w:val="18"/>
          <w:szCs w:val="18"/>
          <w:color w:val="auto"/>
        </w:rPr>
        <w:t>We are leveraging our precision oncology platform to develop a pipeline of orally available, potent and highly selective small molecule product candidates that are designed to structurally correct specific mutant p53 proteins to restore their wild-type function. In addition, we are expanding the utilization of our platform to target other p53-related cancers.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179705</wp:posOffset>
            </wp:positionV>
            <wp:extent cx="5342890" cy="2534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2890" cy="2534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40" w:hanging="288"/>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Discovery, we screen compounds against biological assays to identify lead compounds.</w:t>
      </w:r>
    </w:p>
    <w:p>
      <w:pPr>
        <w:spacing w:after="0" w:line="95" w:lineRule="exact"/>
        <w:rPr>
          <w:rFonts w:ascii="Times New Roman" w:cs="Times New Roman" w:eastAsia="Times New Roman" w:hAnsi="Times New Roman"/>
          <w:sz w:val="14"/>
          <w:szCs w:val="14"/>
          <w:color w:val="auto"/>
        </w:rPr>
      </w:pPr>
    </w:p>
    <w:p>
      <w:pPr>
        <w:ind w:left="940" w:right="300" w:hanging="288"/>
        <w:spacing w:after="0" w:line="258" w:lineRule="auto"/>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Lead Optimization, we modify the lead compound to improve potency, selectivity, pharmacokinetic and toxicity parameters and physical chemical properties important for clinical development.</w:t>
      </w:r>
    </w:p>
    <w:p>
      <w:pPr>
        <w:spacing w:after="0" w:line="58" w:lineRule="exact"/>
        <w:rPr>
          <w:rFonts w:ascii="Times New Roman" w:cs="Times New Roman" w:eastAsia="Times New Roman" w:hAnsi="Times New Roman"/>
          <w:sz w:val="14"/>
          <w:szCs w:val="14"/>
          <w:color w:val="auto"/>
        </w:rPr>
      </w:pPr>
    </w:p>
    <w:p>
      <w:pPr>
        <w:ind w:left="940" w:hanging="288"/>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IND-Enabling Studies, we conduct preclinical studies, in accordance with Good Laboratory Practice, or GLP, required for an IND submission to the FDA.</w:t>
      </w:r>
    </w:p>
    <w:p>
      <w:pPr>
        <w:spacing w:after="0" w:line="207"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Our lead product candidate, PC14586, is designed to be an orally available small molecule that structurally corrects the mutant p53 protein with the Y220C mutation. The Y220C mutation results from tyrosine being substituted by a cysteine at amino acid position 220 and is associated with 1.0-1.5% of all cancers, including breast, NSCLC, colorectal, pancreatic and ovarian cancers. There are currently no products approved by the FDA, and we are not aware of any other products in clinical development, that selectively target the p53 Y220C mutation.</w:t>
      </w:r>
    </w:p>
    <w:p>
      <w:pPr>
        <w:spacing w:after="0" w:line="18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PC14586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PC14586 has shown selective on-target activity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primarily functions in cells with the p53 Y220C mutation) and exhibited robust anti-tumor activity evidenced by potent tumor growth inhibition, or TGI, and strong tumor regression as a single agent. Further, preclinical studies have demonstrated significant synergistic effects in combination with anti-PD-1 therapy.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 w:name="page7"/>
    <w:bookmarkEnd w:id="6"/>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We initiated a Phase 1/2 clinical trial for PC14586 in October 2020. In addition, we were granted FDA Fast Track designation of PC14586 for the treatment of patients with locally advanced or metastatic solid tumors that have a p53 Y220C mutation in October 2020. We dosed our first patient in this clinical trial in the fourth quarter of 2020. The Phase 1 portion of the trial is designed to evaluate escalating doses of PC14586 to determine the maximum tolerated dose, or MTD, and recommended Phase 2 dose of PC14586 when administered orally to patients. Safety, tolerability and effects on biomarkers such as macrophage inhibitory cytokine-1, or MIC-1, will also be assessed. The Phase 1 portion is also designed to assess preliminary anti-tumor efficacy in patients with advanced solid tumors that have the p53 Y220C mutation. In June 2022, we presented initial Phase 1 data, as of a May 10, 2022 efficacy data cutoff date, from our Phase 1/2 clinical trial at the 2022 American Society of Clinical Oncology (ASCO) Annual Meeting: PC14586 was generally well-tolerated and the MTD was determined to be 1500mg BID. A total of 41 patients with the p53 Y220C mutation were enrolled, including 25 patients with measurable disease who were treated in the efficacious dose range, which was defined as a dose from 1150mg QD to 1500mg BID. In the efficacious dose range, partial responses were observed by investigator review (RECIST v1.1) in 32% (six confirmed partial responses and two partial responses pending confirmation as of May 10, 2022) across six different tumor types.</w:t>
      </w:r>
    </w:p>
    <w:p>
      <w:pPr>
        <w:spacing w:after="0" w:line="189"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We believe the mechanism of action employed by PC14586 to structurally correct a specific p53 mutant and restore wild-type p53 activity could provide benefit to patients and offer a unique value proposition in oncology, and is a strategy that can be pursued broadly across other p53 mutations. To that point, we are developing a pipeline of candidates targeting other p53 hotspot mutations. We have other preclinical programs that have demonstrated biochemical validation, for which we are leveraging knowledge from our PC14586 Y220C program. We believe we can scale our discovery and development principles across all p53 hotspot mutations to streamline the process of further developing our pipeline.</w:t>
      </w:r>
    </w:p>
    <w:p>
      <w:pPr>
        <w:spacing w:after="0" w:line="182"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In addition to targeting p53 hotspot mutants, we believe that our expertise and platform can also be applied to target other p53-related cancers. We are deploying our deep understanding of structure-based small molecule design, assays, screens, preclinical model systems and biomarkers to create a pipeline of therapeutics in this field. We believe that we can continue to scale our platform to develop novel therapeutics that structurally correct mutant p53 or other p53-related cancers.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Our vision is to become a leading precision oncology company by designing, developing and commercializing novel precision medicines for every patient with a p53-driven tumor.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65" w:lineRule="exact"/>
        <w:rPr>
          <w:sz w:val="20"/>
          <w:szCs w:val="20"/>
          <w:color w:val="auto"/>
        </w:rPr>
      </w:pPr>
    </w:p>
    <w:p>
      <w:pPr>
        <w:ind w:left="940" w:right="40" w:hanging="288"/>
        <w:spacing w:after="0" w:line="255"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Advancing our lead product candidate, PC14586, as a tumor-agnostic, oral small molecule therapy for cancer patients</w:t>
      </w:r>
      <w:r>
        <w:rPr>
          <w:rFonts w:ascii="Times New Roman" w:cs="Times New Roman" w:eastAsia="Times New Roman" w:hAnsi="Times New Roman"/>
          <w:sz w:val="18"/>
          <w:szCs w:val="18"/>
          <w:color w:val="auto"/>
        </w:rPr>
        <w:t>.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PC14586 to be an orally available, tumor-agnostic therapeutic and, if approved, we believe it could become the first agent to address the p53 Y220C mutation-defined patient population. In October 2020, we initiated a Phase 1/2 clinical trial for PC14586 in multiple solid tumors with the p53 Y220C mutation. We plan to conduct our clinical trials in this genetically-defined patient population and leverage learnings from recently approved tumor-agnostic drugs to inform the clinical and regulatory pathways for PC14586. In June 2022, we presented our initial Phase 1 clinical data for PC14586 and observed partial responses across six different tumor types. In December 2022, we opened a separate arm within the existing Phase 1/2 clinical trial, to evaluate the combination of PC14586 with Merck’s KEYTRUDA (pembrolizumab), in patients with advanced solid tumors harboring a p53 Y220C mutation.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 w:name="page8"/>
    <w:bookmarkEnd w:id="7"/>
    <w:p>
      <w:pPr>
        <w:ind w:left="940" w:hanging="288"/>
        <w:spacing w:after="0" w:line="255"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Harnessing the power of our precision oncology platform to discover and develop additional differentiated product candidates that are designed to precisely target p53 mutant protein and inhibitors of wild-type p53 in cancer</w:t>
      </w:r>
      <w:r>
        <w:rPr>
          <w:rFonts w:ascii="Times New Roman" w:cs="Times New Roman" w:eastAsia="Times New Roman" w:hAnsi="Times New Roman"/>
          <w:sz w:val="18"/>
          <w:szCs w:val="18"/>
          <w:color w:val="auto"/>
        </w:rPr>
        <w:t>. We believe that the general principles for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PC14586 Y220C program can be applied to other p53 hotspot mutations. Using our extensive in-house expertise, deep understanding of chemistry and decades of experience researching the p53 protein, we believe that we will be able to leverage and apply foundational knowledge from the advancement of PC14586 to the discovery and development of small molecules targeting other p53 mutations. We are advancing several early-stage programs focused on targeting the p53 hotspot mutations and other p53-related cancers. In an ongoing effort to bring forward new product candidates, we plan to continue to invest in our precision oncology platform, including our high-throughput screens that allow for quantitative visualization of the conversion from mutant to wild-type p53 in a dose-dependent manner.</w:t>
      </w:r>
    </w:p>
    <w:p>
      <w:pPr>
        <w:spacing w:after="0" w:line="74" w:lineRule="exact"/>
        <w:rPr>
          <w:rFonts w:ascii="Times New Roman" w:cs="Times New Roman" w:eastAsia="Times New Roman" w:hAnsi="Times New Roman"/>
          <w:sz w:val="18"/>
          <w:szCs w:val="18"/>
          <w:color w:val="auto"/>
        </w:rPr>
      </w:pPr>
    </w:p>
    <w:p>
      <w:pPr>
        <w:ind w:left="940" w:right="40" w:hanging="288"/>
        <w:spacing w:after="0" w:line="254"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Leveraging the advantages of precision medicine and our expertise in p53 biology to pursue accelerated approval of our product candidates</w:t>
      </w:r>
      <w:r>
        <w:rPr>
          <w:rFonts w:ascii="Times New Roman" w:cs="Times New Roman" w:eastAsia="Times New Roman" w:hAnsi="Times New Roman"/>
          <w:sz w:val="18"/>
          <w:szCs w:val="18"/>
          <w:color w:val="auto"/>
        </w:rPr>
        <w:t>. For our lead product candidate, PC14586, we are actively working with physicians and leading academic centers to enroll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p53 Y220C mutation identified through NGS in our Phase 1/2 clinical trial. In order to rapidly confirm mechanistic and clinical proof of concept, we utilize assays to measure target engagement and biomarkers, as well as assess clinical responses in patients. We expect this strategy, which we also plan to replicate for our other future product candidates, will enable a rapid determination of target engagement and has potential to serve as a predictive marker of efficacy, thereby providing clear decision points for clinical development and efficient advancement of our product candidates towards approval. If we obtain early and encouraging clinical results, we may seek breakthrough therapy designation from the FDA, which, if granted, is intended to expedite clinical development and regulatory review. We intend to maximize the benefit of our product candidates by pursuing a tumor-agnostic approach.</w:t>
      </w:r>
    </w:p>
    <w:p>
      <w:pPr>
        <w:spacing w:after="0" w:line="78" w:lineRule="exact"/>
        <w:rPr>
          <w:rFonts w:ascii="Times New Roman" w:cs="Times New Roman" w:eastAsia="Times New Roman" w:hAnsi="Times New Roman"/>
          <w:sz w:val="18"/>
          <w:szCs w:val="18"/>
          <w:color w:val="auto"/>
        </w:rPr>
      </w:pPr>
    </w:p>
    <w:p>
      <w:pPr>
        <w:ind w:left="940" w:right="20" w:hanging="288"/>
        <w:spacing w:after="0" w:line="255"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Identifying and exploring combination therapy approaches for our product candidates</w:t>
      </w:r>
      <w:r>
        <w:rPr>
          <w:rFonts w:ascii="Times New Roman" w:cs="Times New Roman" w:eastAsia="Times New Roman" w:hAnsi="Times New Roman"/>
          <w:sz w:val="18"/>
          <w:szCs w:val="18"/>
          <w:color w:val="auto"/>
        </w:rPr>
        <w:t>. Though PC14586 has demonstrated clear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robust tumor regression as a single agent in preclinical animal models,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deoxyribonucleic acid, or DNA, damage and upregulate p53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Background on Targeted Therapies</w:t>
      </w:r>
    </w:p>
    <w:p>
      <w:pPr>
        <w:spacing w:after="0" w:line="229" w:lineRule="exact"/>
        <w:rPr>
          <w:sz w:val="20"/>
          <w:szCs w:val="20"/>
          <w:color w:val="auto"/>
        </w:rPr>
      </w:pPr>
    </w:p>
    <w:p>
      <w:pPr>
        <w:ind w:right="80" w:firstLine="659"/>
        <w:spacing w:after="0" w:line="260" w:lineRule="auto"/>
        <w:rPr>
          <w:sz w:val="20"/>
          <w:szCs w:val="20"/>
          <w:color w:val="auto"/>
        </w:rPr>
      </w:pPr>
      <w:r>
        <w:rPr>
          <w:rFonts w:ascii="Times New Roman" w:cs="Times New Roman" w:eastAsia="Times New Roman" w:hAnsi="Times New Roman"/>
          <w:sz w:val="18"/>
          <w:szCs w:val="18"/>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 w:name="page9"/>
    <w:bookmarkEnd w:id="8"/>
    <w:p>
      <w:pPr>
        <w:ind w:firstLine="644"/>
        <w:spacing w:after="0" w:line="253" w:lineRule="auto"/>
        <w:rPr>
          <w:sz w:val="20"/>
          <w:szCs w:val="20"/>
          <w:color w:val="auto"/>
        </w:rPr>
      </w:pPr>
      <w:r>
        <w:rPr>
          <w:rFonts w:ascii="Times New Roman" w:cs="Times New Roman" w:eastAsia="Times New Roman" w:hAnsi="Times New Roman"/>
          <w:sz w:val="18"/>
          <w:szCs w:val="18"/>
          <w:color w:val="auto"/>
        </w:rPr>
        <w:t>Recent advances in genetic sequencing and a better understanding of the genetic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Qinlock, in GIST (Deciphera), and Krazati and Lumakras in KRAS G12C mutated NSCLC (Mirati and Amgen) all received approvals within five years of first dosing in humans. This time period is significantly reduced compared to conventional drug development timelines. Despite this progress, a recent analysis found that only 8% of patients with metastatic cancer have tumors with genetic profiles eligible for treatment with an approved targeted agent, which leaves a large opportunity for precision oncology.</w:t>
      </w:r>
    </w:p>
    <w:p>
      <w:pPr>
        <w:spacing w:after="0" w:line="186"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genetic mutation that defines the disease, as opposed to the tumor type. These include the aforementioned Vitrakvi and Rozlytrek approvals as well as KEYTRUDA and Jemperli, respectively, approval in metastatic microsatellite instability-high, or MSI-high, or deficient mismatch repair, or dMMR, solid tumors. KEYTRUDA is also approved in tumor mutational burden-high-(TMB-H) solid tumors. In addition, the combination of Taflinar and Mekinist was approved for BRAF V600E mutation positive unresectable or metastatic solid tumors (with the exception of colorectal cancer). We believe that these approvals represent a fundamental shift in the development of targeted therapies and will increasingly lead to cancer being characterized for treatment in a genetic, rather than in a tumor-specific, manner, based on a biological rationale.</w:t>
      </w:r>
    </w:p>
    <w:p>
      <w:pPr>
        <w:spacing w:after="0" w:line="189"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The widespread recognition that cancer is a genetic disease, as much as it is a disease defined by histology or anatomical location, has driven the increased use of genetic sequencing, which is now employed by approximately 75% of oncologists in the United States. As DNA sequencing technology advances, the availability of well-defined genetic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genetic sequencing are leading to transformations in the discovery and development of new targeted oncology drugs.</w:t>
      </w:r>
    </w:p>
    <w:p>
      <w:pPr>
        <w:spacing w:after="0" w:line="186" w:lineRule="exact"/>
        <w:rPr>
          <w:sz w:val="20"/>
          <w:szCs w:val="20"/>
          <w:color w:val="auto"/>
        </w:rPr>
      </w:pPr>
    </w:p>
    <w:p>
      <w:pPr>
        <w:ind w:firstLine="644"/>
        <w:spacing w:after="0" w:line="272" w:lineRule="auto"/>
        <w:rPr>
          <w:sz w:val="20"/>
          <w:szCs w:val="20"/>
          <w:color w:val="auto"/>
        </w:rPr>
      </w:pPr>
      <w:r>
        <w:rPr>
          <w:rFonts w:ascii="Times New Roman" w:cs="Times New Roman" w:eastAsia="Times New Roman" w:hAnsi="Times New Roman"/>
          <w:sz w:val="17"/>
          <w:szCs w:val="17"/>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 Given the high prevalence of p53 mutations in cancers, we believe that an effective way to address p53-driven cancers is by targeting individual p53 mutations using a precision oncology approach and significantly expanding the scope of patients who can benefit from targeted therapies. In addition, we believe that our platform can also be leveraged to expand our pipeline by identifying targets that modulate wild-type p53. Given our deep understanding of and expertise in p53 biology, we believe that pursuing product candidates that target inhibitors of wild-type p53 can also expand the scope of patients who can benefit from targeted therapies.</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Background on p53, the Most Frequently Mutated Gene in Human Cancer</w:t>
      </w:r>
    </w:p>
    <w:p>
      <w:pPr>
        <w:spacing w:after="0" w:line="229"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The p53 gene provides instructions for the production of tumor suppression protein p53 and is the most widely mutated gene in human cancers. Since its discovery in 1979 by our co-founder Dr. Arnold Levine, p53 has been extensively studied by researchers and the pharmaceutical industry due to its central role in preventing the initiation and proliferation of liquid and solid tumors. p53 has long been referred to as the “guardian of the genome” because it regulates expression of a number of genes that comprise the body’s first line of cellular defense against cancers. Among its multiple biologic functions, p53 regulates a variety of tumor suppressive responses including cell cycle arrest, DNA repair, senescence and apoptosis.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 w:name="page10"/>
    <w:bookmarkEnd w:id="9"/>
    <w:p>
      <w:pPr>
        <w:ind w:firstLine="644"/>
        <w:spacing w:after="0" w:line="260" w:lineRule="auto"/>
        <w:rPr>
          <w:sz w:val="20"/>
          <w:szCs w:val="20"/>
          <w:color w:val="auto"/>
        </w:rPr>
      </w:pPr>
      <w:r>
        <w:rPr>
          <w:rFonts w:ascii="Times New Roman" w:cs="Times New Roman" w:eastAsia="Times New Roman" w:hAnsi="Times New Roman"/>
          <w:sz w:val="18"/>
          <w:szCs w:val="18"/>
          <w:color w:val="auto"/>
        </w:rPr>
        <w:t>p53 is a transcriptional factor, which binds to the promoters of its target genes in a sequence-specific manner and regulates their expression, thereby controlling cell cycle and cell death. p53 is activated when DNA damage is detected and when oxidative or other cellular stresses exceed thresholds for normal cellular function. p53 activation facilitates the repair of the cell’s damaged DNA or triggers the killing of the damaged cell through a process known as programmed cell death, or apoptosis, before the cell can become cancerous and proliferate.</w:t>
      </w:r>
    </w:p>
    <w:p>
      <w:pPr>
        <w:spacing w:after="0" w:line="182"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Under normal cellular conditions, p53 is kept at low levels by expression of murine double minute 2, or MDM2, a ubiquitin ligase that promotes the degradation of p53. Upon p53 activation by damaged DNA, and other types of stresses, p53 is upregulated and blocks the proliferation of pre-malignant and malignant cells or eliminates them by inducing apoptosis. Mutant p53 loses the ability to eliminate the proliferation of pre-malignant and malignant cells. Given that the mutational status of p53 in a tumor has a strong impact on sensitivity to commonly used anti-cancer drugs and radiotherapy, p53 is important both as a biomarker and as a novel therapeutic target.</w:t>
      </w:r>
    </w:p>
    <w:p>
      <w:pPr>
        <w:spacing w:after="0" w:line="18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A key challenge in the development of p53-targeted therapies is the vast number of p53 mutants that lose tumor suppression activity. To date, more than 25,000 unique p53 mutations have been discovered. The p53 hotspot mutations occur as a result of site-specific substitution of one amino acid for another and lead to loss of tumor suppression function for the p53 protein. Strategies that attempt to restore wild-type p53 activity in a non-selective manner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regardless of which p53 mutation the tumor is harboring) are likely to face significant challenges, as a “one size fits all” drug is unlikely to address all p53 mutants and could have the potential for off-target toxicities. We are focusing on targeting the p53 hotspot mutations and other p53-related cancers.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Focus: Top Ten Most Frequent p53 Mutations</w:t>
      </w:r>
    </w:p>
    <w:p>
      <w:pPr>
        <w:spacing w:after="0" w:line="254" w:lineRule="exact"/>
        <w:rPr>
          <w:sz w:val="20"/>
          <w:szCs w:val="20"/>
          <w:color w:val="auto"/>
        </w:rPr>
      </w:pPr>
    </w:p>
    <w:tbl>
      <w:tblPr>
        <w:tblLayout w:type="fixed"/>
        <w:tblInd w:w="470" w:type="dxa"/>
        <w:tblCellMar>
          <w:top w:w="0" w:type="dxa"/>
          <w:left w:w="0" w:type="dxa"/>
          <w:bottom w:w="0" w:type="dxa"/>
          <w:right w:w="0" w:type="dxa"/>
        </w:tblCellMar>
      </w:tblPr>
      <w:tr>
        <w:trPr>
          <w:trHeight w:val="263"/>
        </w:trPr>
        <w:tc>
          <w:tcPr>
            <w:tcW w:w="5140" w:type="dxa"/>
            <w:vAlign w:val="bottom"/>
            <w:tcBorders>
              <w:top w:val="single" w:sz="8" w:color="auto"/>
              <w:left w:val="single" w:sz="8" w:color="auto"/>
              <w:bottom w:val="single" w:sz="8" w:color="0C0C0C"/>
            </w:tcBorders>
            <w:shd w:val="clear" w:color="auto" w:fill="0C0C0C"/>
          </w:tcPr>
          <w:p>
            <w:pPr>
              <w:ind w:left="2020"/>
              <w:spacing w:after="0"/>
              <w:rPr>
                <w:sz w:val="20"/>
                <w:szCs w:val="20"/>
                <w:color w:val="auto"/>
              </w:rPr>
            </w:pPr>
            <w:r>
              <w:rPr>
                <w:rFonts w:ascii="Times New Roman" w:cs="Times New Roman" w:eastAsia="Times New Roman" w:hAnsi="Times New Roman"/>
                <w:sz w:val="14"/>
                <w:szCs w:val="14"/>
                <w:b w:val="1"/>
                <w:bCs w:val="1"/>
                <w:color w:val="FFFFFF"/>
              </w:rPr>
              <w:t>p53 Hotspot Mutation</w:t>
            </w:r>
          </w:p>
        </w:tc>
        <w:tc>
          <w:tcPr>
            <w:tcW w:w="5200" w:type="dxa"/>
            <w:vAlign w:val="bottom"/>
            <w:tcBorders>
              <w:top w:val="single" w:sz="8" w:color="auto"/>
              <w:bottom w:val="single" w:sz="8" w:color="0C0C0C"/>
              <w:right w:val="single" w:sz="8" w:color="auto"/>
            </w:tcBorders>
            <w:shd w:val="clear" w:color="auto" w:fill="0C0C0C"/>
          </w:tcPr>
          <w:p>
            <w:pPr>
              <w:jc w:val="center"/>
              <w:ind w:left="292"/>
              <w:spacing w:after="0"/>
              <w:rPr>
                <w:sz w:val="20"/>
                <w:szCs w:val="20"/>
                <w:color w:val="auto"/>
              </w:rPr>
            </w:pPr>
            <w:r>
              <w:rPr>
                <w:rFonts w:ascii="Times New Roman" w:cs="Times New Roman" w:eastAsia="Times New Roman" w:hAnsi="Times New Roman"/>
                <w:sz w:val="14"/>
                <w:szCs w:val="14"/>
                <w:b w:val="1"/>
                <w:bCs w:val="1"/>
                <w:color w:val="FFFFFF"/>
              </w:rPr>
              <w:t>Frequency Among p53 Mutations</w:t>
            </w:r>
          </w:p>
        </w:tc>
      </w:tr>
      <w:tr>
        <w:trPr>
          <w:trHeight w:val="270"/>
        </w:trPr>
        <w:tc>
          <w:tcPr>
            <w:tcW w:w="5140" w:type="dxa"/>
            <w:vAlign w:val="bottom"/>
            <w:tcBorders>
              <w:left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R175H</w:t>
            </w:r>
          </w:p>
        </w:tc>
        <w:tc>
          <w:tcPr>
            <w:tcW w:w="5200" w:type="dxa"/>
            <w:vAlign w:val="bottom"/>
            <w:tcBorders>
              <w:right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5.6%</w:t>
            </w:r>
          </w:p>
        </w:tc>
      </w:tr>
      <w:tr>
        <w:trPr>
          <w:trHeight w:val="283"/>
        </w:trPr>
        <w:tc>
          <w:tcPr>
            <w:tcW w:w="5140" w:type="dxa"/>
            <w:vAlign w:val="bottom"/>
            <w:tcBorders>
              <w:left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R248Q</w:t>
            </w:r>
          </w:p>
        </w:tc>
        <w:tc>
          <w:tcPr>
            <w:tcW w:w="5200" w:type="dxa"/>
            <w:vAlign w:val="bottom"/>
            <w:tcBorders>
              <w:right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4.4%</w:t>
            </w:r>
          </w:p>
        </w:tc>
      </w:tr>
      <w:tr>
        <w:trPr>
          <w:trHeight w:val="283"/>
        </w:trPr>
        <w:tc>
          <w:tcPr>
            <w:tcW w:w="5140" w:type="dxa"/>
            <w:vAlign w:val="bottom"/>
            <w:tcBorders>
              <w:left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R273H</w:t>
            </w:r>
          </w:p>
        </w:tc>
        <w:tc>
          <w:tcPr>
            <w:tcW w:w="5200" w:type="dxa"/>
            <w:vAlign w:val="bottom"/>
            <w:tcBorders>
              <w:right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4.0%</w:t>
            </w:r>
          </w:p>
        </w:tc>
      </w:tr>
      <w:tr>
        <w:trPr>
          <w:trHeight w:val="283"/>
        </w:trPr>
        <w:tc>
          <w:tcPr>
            <w:tcW w:w="5140" w:type="dxa"/>
            <w:vAlign w:val="bottom"/>
            <w:tcBorders>
              <w:left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R248W</w:t>
            </w:r>
          </w:p>
        </w:tc>
        <w:tc>
          <w:tcPr>
            <w:tcW w:w="5200" w:type="dxa"/>
            <w:vAlign w:val="bottom"/>
            <w:tcBorders>
              <w:right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3.5%</w:t>
            </w:r>
          </w:p>
        </w:tc>
      </w:tr>
      <w:tr>
        <w:trPr>
          <w:trHeight w:val="283"/>
        </w:trPr>
        <w:tc>
          <w:tcPr>
            <w:tcW w:w="5140" w:type="dxa"/>
            <w:vAlign w:val="bottom"/>
            <w:tcBorders>
              <w:left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R273C</w:t>
            </w:r>
          </w:p>
        </w:tc>
        <w:tc>
          <w:tcPr>
            <w:tcW w:w="5200" w:type="dxa"/>
            <w:vAlign w:val="bottom"/>
            <w:tcBorders>
              <w:right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3.3%</w:t>
            </w:r>
          </w:p>
        </w:tc>
      </w:tr>
      <w:tr>
        <w:trPr>
          <w:trHeight w:val="283"/>
        </w:trPr>
        <w:tc>
          <w:tcPr>
            <w:tcW w:w="5140" w:type="dxa"/>
            <w:vAlign w:val="bottom"/>
            <w:tcBorders>
              <w:left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R282W</w:t>
            </w:r>
          </w:p>
        </w:tc>
        <w:tc>
          <w:tcPr>
            <w:tcW w:w="5200" w:type="dxa"/>
            <w:vAlign w:val="bottom"/>
            <w:tcBorders>
              <w:right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2.8%</w:t>
            </w:r>
          </w:p>
        </w:tc>
      </w:tr>
      <w:tr>
        <w:trPr>
          <w:trHeight w:val="283"/>
        </w:trPr>
        <w:tc>
          <w:tcPr>
            <w:tcW w:w="5140" w:type="dxa"/>
            <w:vAlign w:val="bottom"/>
            <w:tcBorders>
              <w:left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G245S</w:t>
            </w:r>
          </w:p>
        </w:tc>
        <w:tc>
          <w:tcPr>
            <w:tcW w:w="5200" w:type="dxa"/>
            <w:vAlign w:val="bottom"/>
            <w:tcBorders>
              <w:right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2.1%</w:t>
            </w:r>
          </w:p>
        </w:tc>
      </w:tr>
      <w:tr>
        <w:trPr>
          <w:trHeight w:val="283"/>
        </w:trPr>
        <w:tc>
          <w:tcPr>
            <w:tcW w:w="5140" w:type="dxa"/>
            <w:vAlign w:val="bottom"/>
            <w:tcBorders>
              <w:left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R249S</w:t>
            </w:r>
          </w:p>
        </w:tc>
        <w:tc>
          <w:tcPr>
            <w:tcW w:w="5200" w:type="dxa"/>
            <w:vAlign w:val="bottom"/>
            <w:tcBorders>
              <w:right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2.0%</w:t>
            </w:r>
          </w:p>
        </w:tc>
      </w:tr>
      <w:tr>
        <w:trPr>
          <w:trHeight w:val="283"/>
        </w:trPr>
        <w:tc>
          <w:tcPr>
            <w:tcW w:w="5140" w:type="dxa"/>
            <w:vAlign w:val="bottom"/>
            <w:tcBorders>
              <w:left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Y220C</w:t>
            </w:r>
          </w:p>
        </w:tc>
        <w:tc>
          <w:tcPr>
            <w:tcW w:w="5200" w:type="dxa"/>
            <w:vAlign w:val="bottom"/>
            <w:tcBorders>
              <w:right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1.8%</w:t>
            </w:r>
          </w:p>
        </w:tc>
      </w:tr>
      <w:tr>
        <w:trPr>
          <w:trHeight w:val="290"/>
        </w:trPr>
        <w:tc>
          <w:tcPr>
            <w:tcW w:w="5140" w:type="dxa"/>
            <w:vAlign w:val="bottom"/>
            <w:tcBorders>
              <w:left w:val="single" w:sz="8" w:color="auto"/>
              <w:bottom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V157F</w:t>
            </w:r>
          </w:p>
        </w:tc>
        <w:tc>
          <w:tcPr>
            <w:tcW w:w="5200" w:type="dxa"/>
            <w:vAlign w:val="bottom"/>
            <w:tcBorders>
              <w:bottom w:val="single" w:sz="8" w:color="auto"/>
              <w:right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1.0%</w:t>
            </w:r>
          </w:p>
        </w:tc>
      </w:tr>
    </w:tbl>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Approach to Targeting p53</w:t>
      </w:r>
    </w:p>
    <w:p>
      <w:pPr>
        <w:spacing w:after="0" w:line="229"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Our goal is to bring precision oncology therapies to a greater number of patients. Decades of p53 research has unveiled its potential as a precision oncology target, but prior drug development efforts have been unsuccessful. Mutant p53 historically has been classified as “undruggable” due to the difficulty of restoring wild-type p53 function. Mutations in p53 can give rise to mutant p53 proteins with different conformational structures. As a result, we are designing oral small molecule therapies that selectively target a specific p53 mutation while not binding to wild-type p53. We believe our novel approach designed to reactivate p53 function through the structural correction of mutant p53 protein to wild-type p53 represents a novel therapeutic strategy to target p53.</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drug development efforts leverage our understanding that: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 w:name="page11"/>
    <w:bookmarkEnd w:id="10"/>
    <w:p>
      <w:pPr>
        <w:ind w:left="940" w:hanging="288"/>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mutations throughout the p53 protein can drive tumor formation and growth;</w:t>
      </w:r>
    </w:p>
    <w:p>
      <w:pPr>
        <w:spacing w:after="0" w:line="116" w:lineRule="exact"/>
        <w:rPr>
          <w:rFonts w:ascii="Times New Roman" w:cs="Times New Roman" w:eastAsia="Times New Roman" w:hAnsi="Times New Roman"/>
          <w:sz w:val="18"/>
          <w:szCs w:val="18"/>
          <w:color w:val="auto"/>
        </w:rPr>
      </w:pPr>
    </w:p>
    <w:p>
      <w:pPr>
        <w:ind w:left="940" w:right="620" w:hanging="288"/>
        <w:spacing w:after="0" w:line="281"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mutant p53 protein resulting from a specific mutation can potentially be structurally corrected by a selective small molecule, thereby reactivating wild-type p53 activity;</w:t>
      </w:r>
    </w:p>
    <w:p>
      <w:pPr>
        <w:spacing w:after="0" w:line="54" w:lineRule="exact"/>
        <w:rPr>
          <w:rFonts w:ascii="Times New Roman" w:cs="Times New Roman" w:eastAsia="Times New Roman" w:hAnsi="Times New Roman"/>
          <w:sz w:val="18"/>
          <w:szCs w:val="18"/>
          <w:color w:val="auto"/>
        </w:rPr>
      </w:pPr>
    </w:p>
    <w:p>
      <w:pPr>
        <w:ind w:left="940" w:right="760" w:hanging="288"/>
        <w:spacing w:after="0" w:line="281"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p53 hotspot mutations comprise approximately 30% of all p53 mutations and each p53 hotspot mutation represents an individual therapeutic target for drug discovery and development; and</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p53 mutant cancers, certain cancers result when wild-type p53 function is inhibited.</w:t>
      </w:r>
    </w:p>
    <w:p>
      <w:pPr>
        <w:spacing w:after="0" w:line="225"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We believe we can address certain key limitations of current-generation precision oncology therapies by applying our platform to identify and generate therapies that address functional deficiencies associated with specific p53 mutations and other p53-related cancers. We believe this will allow us to design and develop potential therapies for patients with a high unmet medical need for whom there are currently no targeted treatment options.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Innovation Engine</w:t>
      </w:r>
    </w:p>
    <w:p>
      <w:pPr>
        <w:spacing w:after="0" w:line="229" w:lineRule="exact"/>
        <w:rPr>
          <w:sz w:val="20"/>
          <w:szCs w:val="20"/>
          <w:color w:val="auto"/>
        </w:rPr>
      </w:pPr>
    </w:p>
    <w:p>
      <w:pPr>
        <w:ind w:right="320" w:firstLine="644"/>
        <w:spacing w:after="0" w:line="281" w:lineRule="auto"/>
        <w:rPr>
          <w:sz w:val="20"/>
          <w:szCs w:val="20"/>
          <w:color w:val="auto"/>
        </w:rPr>
      </w:pPr>
      <w:r>
        <w:rPr>
          <w:rFonts w:ascii="Times New Roman" w:cs="Times New Roman" w:eastAsia="Times New Roman" w:hAnsi="Times New Roman"/>
          <w:sz w:val="18"/>
          <w:szCs w:val="18"/>
          <w:color w:val="auto"/>
        </w:rPr>
        <w:t>We have built an innovation engine that allows us to discover and develop potential targeted therapies for mutant p53-driven cancers and other p53-related cancers. This engine consists of three complementary drivers:</w:t>
      </w:r>
    </w:p>
    <w:p>
      <w:pPr>
        <w:spacing w:after="0" w:line="51" w:lineRule="exact"/>
        <w:rPr>
          <w:sz w:val="20"/>
          <w:szCs w:val="20"/>
          <w:color w:val="auto"/>
        </w:rPr>
      </w:pPr>
    </w:p>
    <w:p>
      <w:pPr>
        <w:ind w:left="940" w:hanging="288"/>
        <w:spacing w:after="0" w:line="256"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 understanding of, and leadership in, p53 biology that enable unique insights into targeting individual mutations and targeting other p53-related cancers. </w:t>
      </w:r>
      <w:r>
        <w:rPr>
          <w:rFonts w:ascii="Times New Roman" w:cs="Times New Roman" w:eastAsia="Times New Roman" w:hAnsi="Times New Roman"/>
          <w:sz w:val="18"/>
          <w:szCs w:val="18"/>
          <w:color w:val="auto"/>
        </w:rPr>
        <w:t>We have leveraged more than four decades of research experience and developed unique insights into p53 biology,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field that was discovered and established by our co-founder Dr. Arnold Levine. Additionally, our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structurally correct a specific p53 hotspot mutation.</w:t>
      </w:r>
    </w:p>
    <w:p>
      <w:pPr>
        <w:spacing w:after="0" w:line="72" w:lineRule="exact"/>
        <w:rPr>
          <w:rFonts w:ascii="Times New Roman" w:cs="Times New Roman" w:eastAsia="Times New Roman" w:hAnsi="Times New Roman"/>
          <w:sz w:val="18"/>
          <w:szCs w:val="18"/>
          <w:color w:val="auto"/>
        </w:rPr>
      </w:pPr>
    </w:p>
    <w:p>
      <w:pPr>
        <w:ind w:left="940" w:right="40" w:hanging="288"/>
        <w:spacing w:after="0" w:line="275"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Ability to design structure-based oral small molecule product candidates that selectively target and correct specific p53 mutants and inhibitors of wild-type p53. </w:t>
      </w:r>
      <w:r>
        <w:rPr>
          <w:rFonts w:ascii="Times New Roman" w:cs="Times New Roman" w:eastAsia="Times New Roman" w:hAnsi="Times New Roman"/>
          <w:sz w:val="17"/>
          <w:szCs w:val="17"/>
          <w:color w:val="auto"/>
        </w:rPr>
        <w:t>Designing molecules for p53 mutants requires an intricate understanding of the p53 protein structure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mutated p53 proteins to design development candidates against the challenging binding sites. Our design techniques help us to identify potential product candidates that can selectively target a single p53 mutant, while sparing wild-type p53.</w:t>
      </w:r>
    </w:p>
    <w:p>
      <w:pPr>
        <w:spacing w:after="0" w:line="58" w:lineRule="exact"/>
        <w:rPr>
          <w:rFonts w:ascii="Times New Roman" w:cs="Times New Roman" w:eastAsia="Times New Roman" w:hAnsi="Times New Roman"/>
          <w:sz w:val="17"/>
          <w:szCs w:val="17"/>
          <w:color w:val="auto"/>
        </w:rPr>
      </w:pPr>
    </w:p>
    <w:p>
      <w:pPr>
        <w:ind w:left="940" w:right="40" w:hanging="288"/>
        <w:spacing w:after="0" w:line="256"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Assays, screens, preclinical model systems and biomarkers that enable us to assess and optimize selective small molecule product candidates. </w:t>
      </w:r>
      <w:r>
        <w:rPr>
          <w:rFonts w:ascii="Times New Roman" w:cs="Times New Roman" w:eastAsia="Times New Roman" w:hAnsi="Times New Roman"/>
          <w:sz w:val="18"/>
          <w:szCs w:val="18"/>
          <w:color w:val="auto"/>
        </w:rPr>
        <w:t>We test our product candidates across a diverse set of human cancer cells based on research and understanding of bioinformatics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functional genomics. We also identify and monitor pharmacodynamic biomarkers and surrogates of clinical activity to help measure target engagement, including MIC-1, a serum-based biomarker. The biological insights we generate help us to better target various p53 mutants based on their structure and biology. In addition, we have built assays, screens and preclinical model systems and biomarkers that help assess and optimize our product candidates that target other p53-related cancers. We develop innovative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to advance potential therapeutic programs for translation to the clinic.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Product Candidate and Development Programs</w:t>
      </w:r>
    </w:p>
    <w:p>
      <w:pPr>
        <w:spacing w:after="0" w:line="229"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We are leveraging our precision oncology platform to develop a pipeline of oral small molecule product candidates that structurally correct other p53 hotspot mutations to restore their wild-type function and product candidates that target other p53-related cancers.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141605</wp:posOffset>
            </wp:positionV>
            <wp:extent cx="5342890" cy="2534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2890" cy="2534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0" w:hanging="288"/>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Discovery, we screen compounds against biological assays to identify lead compounds.</w:t>
      </w:r>
    </w:p>
    <w:p>
      <w:pPr>
        <w:spacing w:after="0" w:line="95" w:lineRule="exact"/>
        <w:rPr>
          <w:rFonts w:ascii="Times New Roman" w:cs="Times New Roman" w:eastAsia="Times New Roman" w:hAnsi="Times New Roman"/>
          <w:sz w:val="14"/>
          <w:szCs w:val="14"/>
          <w:color w:val="auto"/>
        </w:rPr>
      </w:pPr>
    </w:p>
    <w:p>
      <w:pPr>
        <w:ind w:left="940" w:right="280" w:hanging="288"/>
        <w:spacing w:after="0" w:line="258"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Lead Optimization, we modify the lead compound to improve potency, selectivity, pharmacokinetic and toxicity parameters and physical chemical properties important for clinical development.</w:t>
      </w:r>
    </w:p>
    <w:p>
      <w:pPr>
        <w:spacing w:after="0" w:line="58" w:lineRule="exact"/>
        <w:rPr>
          <w:rFonts w:ascii="Times New Roman" w:cs="Times New Roman" w:eastAsia="Times New Roman" w:hAnsi="Times New Roman"/>
          <w:sz w:val="14"/>
          <w:szCs w:val="14"/>
          <w:color w:val="auto"/>
        </w:rPr>
      </w:pPr>
    </w:p>
    <w:p>
      <w:pPr>
        <w:ind w:left="940" w:hanging="288"/>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IND-Enabling Studies, we conduct preclinical studies, in accordance with GLP required for an IND submission to the FDA.</w:t>
      </w:r>
    </w:p>
    <w:p>
      <w:pPr>
        <w:spacing w:after="0" w:line="207"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expect to initially seek approval of our product candidates in most instances, including with PC14586, at least as a second line therapy or for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PC14586: A Selective Structural Corrector of p53 Y220C Mutations</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p53 is the most widely mutated gene in human cancers. The vast majority of these mutations occur as a result of missense mutations that are found in the DNA binding domain. p53 Y220C mutations are found in approximately 1.0-1.5% of all cancers. This particular mutation is expressed in a large variety of solid tumors, including breast, NSCLC, colorectal, pancreatic and ovarian cancers. Our lead product candidate, PC14586, is designed to be an orally available small molecule that structurally corrects a p53 protein containing the Y220C mutation and restores wild-type p53 function.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2" w:name="page13"/>
    <w:bookmarkEnd w:id="12"/>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Wild-type p53 in a normal cell is at low to undetectable levels, but an external insult such as UV radiation or exposure to a carcinogen results in activation and upregulation of the protein. In these 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82" w:lineRule="exact"/>
        <w:rPr>
          <w:sz w:val="20"/>
          <w:szCs w:val="20"/>
          <w:color w:val="auto"/>
        </w:rPr>
      </w:pPr>
    </w:p>
    <w:p>
      <w:pPr>
        <w:jc w:val="both"/>
        <w:ind w:right="40" w:firstLine="644"/>
        <w:spacing w:after="0" w:line="265" w:lineRule="auto"/>
        <w:rPr>
          <w:sz w:val="20"/>
          <w:szCs w:val="20"/>
          <w:color w:val="auto"/>
        </w:rPr>
      </w:pPr>
      <w:r>
        <w:rPr>
          <w:rFonts w:ascii="Times New Roman" w:cs="Times New Roman" w:eastAsia="Times New Roman" w:hAnsi="Times New Roman"/>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w:t>
      </w:r>
    </w:p>
    <w:p>
      <w:pPr>
        <w:spacing w:after="0" w:line="204"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PC14586 is an orally available small molecule candidate that is designed to selectively bind to the crevice created by the p53 Y220C mutation, and thereby restore the wild-type p53 protein structure and tumor suppressing function. In the diagram below, wild-type p53 protein is compared with a mutant p53 Y220C protein and a mutant p53 Y220C protein with PC14586 bound in the crevice created by the Y220C mutation. By docking into the crevice created by the Y220C mutation, PC14586 is designed to restore the wild-type p53 conformation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144145</wp:posOffset>
            </wp:positionV>
            <wp:extent cx="5342890" cy="3039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2890" cy="303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 xml:space="preserve">In preclinical studies, we have demonstrated that PC14586 rapidly converts the large protein pool of mutant p53 Y220C protein to wild-type structure. As seen in the graphic below,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study, PC14586 induced conversion of p53 protein from mutant to wild-type conformation in a dose-dependent manner as evidenced by a decrease in mutant p53 and an increase in wild-type p53, while total p53 remains relatively unchanged.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PC14586 Demonstrated Structural Conversion from Mutant p53 to Wild-type p53 </w:t>
      </w:r>
      <w:r>
        <w:rPr>
          <w:rFonts w:ascii="Times New Roman" w:cs="Times New Roman" w:eastAsia="Times New Roman" w:hAnsi="Times New Roman"/>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173990</wp:posOffset>
            </wp:positionV>
            <wp:extent cx="2508885" cy="1951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8885" cy="195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firstLine="644"/>
        <w:spacing w:after="0" w:line="260" w:lineRule="auto"/>
        <w:rPr>
          <w:sz w:val="20"/>
          <w:szCs w:val="20"/>
          <w:color w:val="auto"/>
        </w:rPr>
      </w:pPr>
      <w:r>
        <w:rPr>
          <w:rFonts w:ascii="Times New Roman" w:cs="Times New Roman" w:eastAsia="Times New Roman" w:hAnsi="Times New Roman"/>
          <w:sz w:val="18"/>
          <w:szCs w:val="18"/>
          <w:color w:val="auto"/>
        </w:rPr>
        <w:t>PC14586 selectively binds to the crevice created by the Y220C mutation as this molecule does not bind to wild-type p53 or other p53 mutations, including R273H, R273C, R175H, G245S, R248Q and R282W, as demonstrated by the lack of activity (as measured by p21 and MDM2 gene expression seen in the below diagrams). PC14586 only binds to the crevice created by the Y220C mutation, and none of the other tested p53 hotspot mutations, as illustrated by gene expression changes in the Y220C cell line when PC14586 is added in increasing concentrations.</w:t>
      </w:r>
    </w:p>
    <w:p>
      <w:pPr>
        <w:spacing w:after="0" w:line="18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Additionally, structural correction from a mutant p53 Y220C conformation to a wild-type p53 conformation by PC14586 restored p53-dependent transcription of downstream targets, which is indicative of wild-type p53 biological activity. For example, as shown in the figures below, p21 and MDM2, two of the downstream targets of p53, were selectively upregulated by PC14586 in a dose-dependent manner in cells where the p53 Y220C mutation was present. Since PC14586 is highly selective for the p53 Y220C mutation, it did not affect expression levels of p21 and MDM2 in tumor cell lines containing wild-type p53, p53 knock-out or other p53 hotspot mutations as noted in the figures below.</w:t>
      </w: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PC14586 Induced Transcription of p21 and MDM2 Only in Cell Lines with the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173990</wp:posOffset>
            </wp:positionV>
            <wp:extent cx="5342890" cy="1960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2890" cy="196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In Vivo Data</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PC14586 exhibited single-agent anti-tumor activity in a dose-dependent manner against mutant p53 Y220C tumors, evidenced by both potent TGI and tumor regression. Oral once-daily dosing over 21 days of PC14586 was well tolerated in nude mice (ten mice per dosing group) bearing p53 Y220C NUGC3 xenograft tumors up to 100 mg/kg, as evidenced by the lack of body weight loss, which is the generally accepted surrogate for toxicity in mice. PC14586 demonstrated dose-dependent TGI at daily doses ranging from 25 mg/kg to 50 mg/kg and robust tumor regression at 100 mg/kg daily.</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PC14586 Single-Agent Administration in NUGC3 Xenograft Model Resulted in Tumor Regression and was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173990</wp:posOffset>
            </wp:positionV>
            <wp:extent cx="5342890" cy="2620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2890" cy="262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also created a human p53 knock-in, or HUPKI, mouse that expresses a p53 protein with the human p53 DNA binding domain and the p53 Y220C mutation. The HUPKI mouse presents spontaneously with sarcomas at six to eight months of age, which we can harvest and re-implant in a wild-type mouse to create a mouse tumor model that has an intact immune system harboring a human p53 Y220C mutation. We believe this syngeneic mouse model better represents the patient population that we expect to see in the clinic, as compared to mouse xenograft models that incorporate human tumors in mice with no immune system. While some patients with cancer may have weakened immune systems, we believe that few patients have severely or fully dysfunctional immunocompromised systems, and therefore a syngeneic model may better represent the patient population than an immunocompromised mouse model. In addition, with an intact immune system, this model allows us to test anti-tumor activity of PC14586 in combination with immune checkpoint inhibitors.</w:t>
      </w:r>
    </w:p>
    <w:p>
      <w:pPr>
        <w:spacing w:after="0" w:line="189"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As illustrated by the table below, PC14586, administered as a single-agent at a daily oral dose of 100 mg/kg for 70 days, demonstrated regression in tumors that express the p53 Y220C mutation in the syngeneic mouse model. The durability of the response was measured by median survival, where median survival for a 100 mg/kg dose of PC14586 exceeded 156 days, even though drug treatment was discontinued on day 70. This compared with median survival of only 17 days for the vehicle.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PC14586 Tumor Regression and Durable Responses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173990</wp:posOffset>
            </wp:positionV>
            <wp:extent cx="4769485" cy="1806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9485" cy="180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Each line represents each mouse where each group has 10 mice</w:t>
      </w:r>
    </w:p>
    <w:p>
      <w:pPr>
        <w:spacing w:after="0" w:line="319" w:lineRule="exact"/>
        <w:rPr>
          <w:sz w:val="20"/>
          <w:szCs w:val="20"/>
          <w:color w:val="auto"/>
        </w:rPr>
      </w:pPr>
    </w:p>
    <w:tbl>
      <w:tblPr>
        <w:tblLayout w:type="fixed"/>
        <w:tblInd w:w="590" w:type="dxa"/>
        <w:tblCellMar>
          <w:top w:w="0" w:type="dxa"/>
          <w:left w:w="0" w:type="dxa"/>
          <w:bottom w:w="0" w:type="dxa"/>
          <w:right w:w="0" w:type="dxa"/>
        </w:tblCellMar>
      </w:tblPr>
      <w:tr>
        <w:trPr>
          <w:trHeight w:val="191"/>
        </w:trPr>
        <w:tc>
          <w:tcPr>
            <w:tcW w:w="5220" w:type="dxa"/>
            <w:vAlign w:val="bottom"/>
            <w:tcBorders>
              <w:top w:val="single" w:sz="8" w:color="auto"/>
              <w:left w:val="single" w:sz="8" w:color="auto"/>
            </w:tcBorders>
            <w:vMerge w:val="restart"/>
            <w:shd w:val="clear" w:color="auto" w:fill="0C0C0C"/>
          </w:tcPr>
          <w:p>
            <w:pPr>
              <w:jc w:val="center"/>
              <w:spacing w:after="0"/>
              <w:rPr>
                <w:sz w:val="20"/>
                <w:szCs w:val="20"/>
                <w:color w:val="auto"/>
              </w:rPr>
            </w:pPr>
            <w:r>
              <w:rPr>
                <w:rFonts w:ascii="Times New Roman" w:cs="Times New Roman" w:eastAsia="Times New Roman" w:hAnsi="Times New Roman"/>
                <w:sz w:val="14"/>
                <w:szCs w:val="14"/>
                <w:b w:val="1"/>
                <w:bCs w:val="1"/>
                <w:color w:val="FFFFFF"/>
              </w:rPr>
              <w:t>Group</w:t>
            </w:r>
          </w:p>
        </w:tc>
        <w:tc>
          <w:tcPr>
            <w:tcW w:w="4880" w:type="dxa"/>
            <w:vAlign w:val="bottom"/>
            <w:tcBorders>
              <w:top w:val="single" w:sz="8" w:color="auto"/>
              <w:right w:val="single" w:sz="8" w:color="auto"/>
            </w:tcBorders>
            <w:shd w:val="clear" w:color="auto" w:fill="0C0C0C"/>
          </w:tcPr>
          <w:p>
            <w:pPr>
              <w:jc w:val="center"/>
              <w:ind w:left="219"/>
              <w:spacing w:after="0"/>
              <w:rPr>
                <w:sz w:val="20"/>
                <w:szCs w:val="20"/>
                <w:color w:val="auto"/>
              </w:rPr>
            </w:pPr>
            <w:r>
              <w:rPr>
                <w:rFonts w:ascii="Times New Roman" w:cs="Times New Roman" w:eastAsia="Times New Roman" w:hAnsi="Times New Roman"/>
                <w:sz w:val="14"/>
                <w:szCs w:val="14"/>
                <w:b w:val="1"/>
                <w:bCs w:val="1"/>
                <w:color w:val="FFFFFF"/>
              </w:rPr>
              <w:t>Median Survival Time</w:t>
            </w:r>
          </w:p>
        </w:tc>
        <w:tc>
          <w:tcPr>
            <w:tcW w:w="0" w:type="dxa"/>
            <w:vAlign w:val="bottom"/>
          </w:tcPr>
          <w:p>
            <w:pPr>
              <w:spacing w:after="0"/>
              <w:rPr>
                <w:sz w:val="1"/>
                <w:szCs w:val="1"/>
                <w:color w:val="auto"/>
              </w:rPr>
            </w:pPr>
          </w:p>
        </w:tc>
      </w:tr>
      <w:tr>
        <w:trPr>
          <w:trHeight w:val="220"/>
        </w:trPr>
        <w:tc>
          <w:tcPr>
            <w:tcW w:w="5220" w:type="dxa"/>
            <w:vAlign w:val="bottom"/>
            <w:tcBorders>
              <w:left w:val="single" w:sz="8" w:color="auto"/>
              <w:bottom w:val="single" w:sz="8" w:color="0C0C0C"/>
            </w:tcBorders>
            <w:vMerge w:val="continue"/>
            <w:shd w:val="clear" w:color="auto" w:fill="0C0C0C"/>
          </w:tcPr>
          <w:p>
            <w:pPr>
              <w:spacing w:after="0"/>
              <w:rPr>
                <w:sz w:val="19"/>
                <w:szCs w:val="19"/>
                <w:color w:val="auto"/>
              </w:rPr>
            </w:pPr>
          </w:p>
        </w:tc>
        <w:tc>
          <w:tcPr>
            <w:tcW w:w="4880" w:type="dxa"/>
            <w:vAlign w:val="bottom"/>
            <w:tcBorders>
              <w:bottom w:val="single" w:sz="8" w:color="0C0C0C"/>
              <w:right w:val="single" w:sz="8" w:color="auto"/>
            </w:tcBorders>
            <w:shd w:val="clear" w:color="auto" w:fill="0C0C0C"/>
          </w:tcPr>
          <w:p>
            <w:pPr>
              <w:jc w:val="center"/>
              <w:ind w:left="239"/>
              <w:spacing w:after="0"/>
              <w:rPr>
                <w:sz w:val="20"/>
                <w:szCs w:val="20"/>
                <w:color w:val="auto"/>
              </w:rPr>
            </w:pPr>
            <w:r>
              <w:rPr>
                <w:rFonts w:ascii="Times New Roman" w:cs="Times New Roman" w:eastAsia="Times New Roman" w:hAnsi="Times New Roman"/>
                <w:sz w:val="14"/>
                <w:szCs w:val="14"/>
                <w:b w:val="1"/>
                <w:bCs w:val="1"/>
                <w:color w:val="FFFFFF"/>
              </w:rPr>
              <w:t>(Days)</w:t>
            </w:r>
          </w:p>
        </w:tc>
        <w:tc>
          <w:tcPr>
            <w:tcW w:w="0" w:type="dxa"/>
            <w:vAlign w:val="bottom"/>
          </w:tcPr>
          <w:p>
            <w:pPr>
              <w:spacing w:after="0"/>
              <w:rPr>
                <w:sz w:val="1"/>
                <w:szCs w:val="1"/>
                <w:color w:val="auto"/>
              </w:rPr>
            </w:pPr>
          </w:p>
        </w:tc>
      </w:tr>
      <w:tr>
        <w:trPr>
          <w:trHeight w:val="270"/>
        </w:trPr>
        <w:tc>
          <w:tcPr>
            <w:tcW w:w="52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Vehicle</w:t>
            </w:r>
          </w:p>
        </w:tc>
        <w:tc>
          <w:tcPr>
            <w:tcW w:w="4880" w:type="dxa"/>
            <w:vAlign w:val="bottom"/>
            <w:tcBorders>
              <w:right w:val="single" w:sz="8" w:color="auto"/>
            </w:tcBorders>
          </w:tcPr>
          <w:p>
            <w:pPr>
              <w:jc w:val="right"/>
              <w:ind w:right="2119"/>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67"/>
        </w:trPr>
        <w:tc>
          <w:tcPr>
            <w:tcW w:w="5220" w:type="dxa"/>
            <w:vAlign w:val="bottom"/>
            <w:tcBorders>
              <w:left w:val="single" w:sz="8" w:color="auto"/>
              <w:bottom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PC14586 100 mg/kg</w:t>
            </w:r>
          </w:p>
        </w:tc>
        <w:tc>
          <w:tcPr>
            <w:tcW w:w="4880" w:type="dxa"/>
            <w:vAlign w:val="bottom"/>
            <w:tcBorders>
              <w:right w:val="single" w:sz="8" w:color="auto"/>
            </w:tcBorders>
          </w:tcPr>
          <w:p>
            <w:pPr>
              <w:jc w:val="right"/>
              <w:ind w:right="2019"/>
              <w:spacing w:after="0"/>
              <w:rPr>
                <w:sz w:val="20"/>
                <w:szCs w:val="20"/>
                <w:color w:val="auto"/>
              </w:rPr>
            </w:pPr>
            <w:r>
              <w:rPr>
                <w:rFonts w:ascii="Times New Roman" w:cs="Times New Roman" w:eastAsia="Times New Roman" w:hAnsi="Times New Roman"/>
                <w:sz w:val="18"/>
                <w:szCs w:val="18"/>
                <w:color w:val="auto"/>
              </w:rPr>
              <w:t>&gt;156</w:t>
            </w:r>
          </w:p>
        </w:tc>
        <w:tc>
          <w:tcPr>
            <w:tcW w:w="0" w:type="dxa"/>
            <w:vAlign w:val="bottom"/>
          </w:tcPr>
          <w:p>
            <w:pPr>
              <w:spacing w:after="0"/>
              <w:rPr>
                <w:sz w:val="1"/>
                <w:szCs w:val="1"/>
                <w:color w:val="auto"/>
              </w:rPr>
            </w:pPr>
          </w:p>
        </w:tc>
      </w:tr>
      <w:tr>
        <w:trPr>
          <w:trHeight w:val="67"/>
        </w:trPr>
        <w:tc>
          <w:tcPr>
            <w:tcW w:w="5220" w:type="dxa"/>
            <w:vAlign w:val="bottom"/>
            <w:tcBorders>
              <w:left w:val="single" w:sz="8" w:color="auto"/>
              <w:bottom w:val="single" w:sz="8" w:color="auto"/>
            </w:tcBorders>
          </w:tcPr>
          <w:p>
            <w:pPr>
              <w:spacing w:after="0"/>
              <w:rPr>
                <w:sz w:val="5"/>
                <w:szCs w:val="5"/>
                <w:color w:val="auto"/>
              </w:rPr>
            </w:pPr>
          </w:p>
        </w:tc>
        <w:tc>
          <w:tcPr>
            <w:tcW w:w="4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Dosing ceased on day 70 in the PC14586 arm.</w:t>
      </w:r>
    </w:p>
    <w:p>
      <w:pPr>
        <w:spacing w:after="0" w:line="119"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PC14586 also exhibited anti-tumor activity in combination with anti-PD-1 therapy in syngeneic mouse models with the human p53 Y220C mutation. The scientific rationale for such a combination comes from the emerging literature suggesting an interplay between p53 and the immune system, which is the key mechanism of action of cancer immunotherapies such as anti-PD-1 antibodies. When PC14586 was administered at a sub-therapeutic daily oral dose of 50 mg/kg for 70 days in combination with a therapeutic dose of a PD-1 antibody, regression of tumors that express the p53 Y220C mutation was observed. As illustrated by the table below, median survival for a sub-therapeutic dose of PC14586 combined with anti-PD-1 treatment exceeded 156 days, even though drug treatment was discontinued on day 70, compared with median survival of only 24 days for anti-PD-1 treatment alone.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PC14586 + Anti-PD-1 Combination Showed Regression of Tumor Growth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173990</wp:posOffset>
            </wp:positionV>
            <wp:extent cx="4769485" cy="2945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9485" cy="294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Each line represents each mouse where each group has 10 mice</w:t>
      </w:r>
    </w:p>
    <w:p>
      <w:pPr>
        <w:spacing w:after="0" w:line="252" w:lineRule="exact"/>
        <w:rPr>
          <w:sz w:val="20"/>
          <w:szCs w:val="20"/>
          <w:color w:val="auto"/>
        </w:rPr>
      </w:pPr>
    </w:p>
    <w:tbl>
      <w:tblPr>
        <w:tblLayout w:type="fixed"/>
        <w:tblInd w:w="590" w:type="dxa"/>
        <w:tblCellMar>
          <w:top w:w="0" w:type="dxa"/>
          <w:left w:w="0" w:type="dxa"/>
          <w:bottom w:w="0" w:type="dxa"/>
          <w:right w:w="0" w:type="dxa"/>
        </w:tblCellMar>
      </w:tblPr>
      <w:tr>
        <w:trPr>
          <w:trHeight w:val="263"/>
        </w:trPr>
        <w:tc>
          <w:tcPr>
            <w:tcW w:w="6080" w:type="dxa"/>
            <w:vAlign w:val="bottom"/>
            <w:tcBorders>
              <w:top w:val="single" w:sz="8" w:color="auto"/>
              <w:left w:val="single" w:sz="8" w:color="auto"/>
              <w:bottom w:val="single" w:sz="8" w:color="0C0C0C"/>
            </w:tcBorders>
            <w:gridSpan w:val="2"/>
            <w:shd w:val="clear" w:color="auto" w:fill="0C0C0C"/>
          </w:tcPr>
          <w:p>
            <w:pPr>
              <w:jc w:val="center"/>
              <w:ind w:right="390"/>
              <w:spacing w:after="0"/>
              <w:rPr>
                <w:sz w:val="20"/>
                <w:szCs w:val="20"/>
                <w:color w:val="auto"/>
              </w:rPr>
            </w:pPr>
            <w:r>
              <w:rPr>
                <w:rFonts w:ascii="Times New Roman" w:cs="Times New Roman" w:eastAsia="Times New Roman" w:hAnsi="Times New Roman"/>
                <w:sz w:val="14"/>
                <w:szCs w:val="14"/>
                <w:b w:val="1"/>
                <w:bCs w:val="1"/>
                <w:color w:val="FFFFFF"/>
              </w:rPr>
              <w:t>Group</w:t>
            </w:r>
          </w:p>
        </w:tc>
        <w:tc>
          <w:tcPr>
            <w:tcW w:w="4020" w:type="dxa"/>
            <w:vAlign w:val="bottom"/>
            <w:tcBorders>
              <w:top w:val="single" w:sz="8" w:color="auto"/>
              <w:bottom w:val="single" w:sz="8" w:color="0C0C0C"/>
              <w:right w:val="single" w:sz="8" w:color="auto"/>
            </w:tcBorders>
            <w:shd w:val="clear" w:color="auto" w:fill="0C0C0C"/>
          </w:tcPr>
          <w:p>
            <w:pPr>
              <w:ind w:left="1680"/>
              <w:spacing w:after="0"/>
              <w:rPr>
                <w:sz w:val="20"/>
                <w:szCs w:val="20"/>
                <w:color w:val="auto"/>
              </w:rPr>
            </w:pPr>
            <w:r>
              <w:rPr>
                <w:rFonts w:ascii="Times New Roman" w:cs="Times New Roman" w:eastAsia="Times New Roman" w:hAnsi="Times New Roman"/>
                <w:sz w:val="14"/>
                <w:szCs w:val="14"/>
                <w:b w:val="1"/>
                <w:bCs w:val="1"/>
                <w:color w:val="FFFFFF"/>
              </w:rPr>
              <w:t>Median Survival Time (Days)</w:t>
            </w:r>
          </w:p>
        </w:tc>
      </w:tr>
      <w:tr>
        <w:trPr>
          <w:trHeight w:val="238"/>
        </w:trPr>
        <w:tc>
          <w:tcPr>
            <w:tcW w:w="6080" w:type="dxa"/>
            <w:vAlign w:val="bottom"/>
            <w:tcBorders>
              <w:left w:val="single" w:sz="8" w:color="auto"/>
              <w:bottom w:val="single" w:sz="8" w:color="auto"/>
            </w:tcBorders>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6"/>
              </w:rPr>
              <w:t>Vehicle</w:t>
            </w:r>
          </w:p>
        </w:tc>
        <w:tc>
          <w:tcPr>
            <w:tcW w:w="4020" w:type="dxa"/>
            <w:vAlign w:val="bottom"/>
            <w:tcBorders>
              <w:bottom w:val="single" w:sz="8" w:color="auto"/>
              <w:right w:val="single" w:sz="8" w:color="auto"/>
            </w:tcBorders>
          </w:tcPr>
          <w:p>
            <w:pPr>
              <w:jc w:val="center"/>
              <w:ind w:left="1234"/>
              <w:spacing w:after="0"/>
              <w:rPr>
                <w:sz w:val="20"/>
                <w:szCs w:val="20"/>
                <w:color w:val="auto"/>
              </w:rPr>
            </w:pPr>
            <w:r>
              <w:rPr>
                <w:rFonts w:ascii="Times New Roman" w:cs="Times New Roman" w:eastAsia="Times New Roman" w:hAnsi="Times New Roman"/>
                <w:sz w:val="18"/>
                <w:szCs w:val="18"/>
                <w:color w:val="auto"/>
                <w:w w:val="99"/>
              </w:rPr>
              <w:t>17</w:t>
            </w:r>
          </w:p>
        </w:tc>
      </w:tr>
      <w:tr>
        <w:trPr>
          <w:trHeight w:val="236"/>
        </w:trPr>
        <w:tc>
          <w:tcPr>
            <w:tcW w:w="27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Anti-PD-1</w:t>
            </w:r>
          </w:p>
        </w:tc>
        <w:tc>
          <w:tcPr>
            <w:tcW w:w="3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 mg/kg</w:t>
            </w:r>
          </w:p>
        </w:tc>
        <w:tc>
          <w:tcPr>
            <w:tcW w:w="4020" w:type="dxa"/>
            <w:vAlign w:val="bottom"/>
            <w:tcBorders>
              <w:bottom w:val="single" w:sz="8" w:color="auto"/>
              <w:right w:val="single" w:sz="8" w:color="auto"/>
            </w:tcBorders>
          </w:tcPr>
          <w:p>
            <w:pPr>
              <w:jc w:val="center"/>
              <w:ind w:left="1234"/>
              <w:spacing w:after="0"/>
              <w:rPr>
                <w:sz w:val="20"/>
                <w:szCs w:val="20"/>
                <w:color w:val="auto"/>
              </w:rPr>
            </w:pPr>
            <w:r>
              <w:rPr>
                <w:rFonts w:ascii="Times New Roman" w:cs="Times New Roman" w:eastAsia="Times New Roman" w:hAnsi="Times New Roman"/>
                <w:sz w:val="18"/>
                <w:szCs w:val="18"/>
                <w:color w:val="auto"/>
                <w:w w:val="99"/>
              </w:rPr>
              <w:t>24</w:t>
            </w:r>
          </w:p>
        </w:tc>
      </w:tr>
      <w:tr>
        <w:trPr>
          <w:trHeight w:val="236"/>
        </w:trPr>
        <w:tc>
          <w:tcPr>
            <w:tcW w:w="27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PC14586</w:t>
            </w:r>
          </w:p>
        </w:tc>
        <w:tc>
          <w:tcPr>
            <w:tcW w:w="3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50 mg/kg</w:t>
            </w:r>
          </w:p>
        </w:tc>
        <w:tc>
          <w:tcPr>
            <w:tcW w:w="4020" w:type="dxa"/>
            <w:vAlign w:val="bottom"/>
            <w:tcBorders>
              <w:bottom w:val="single" w:sz="8" w:color="auto"/>
              <w:right w:val="single" w:sz="8" w:color="auto"/>
            </w:tcBorders>
          </w:tcPr>
          <w:p>
            <w:pPr>
              <w:jc w:val="center"/>
              <w:ind w:left="1234"/>
              <w:spacing w:after="0"/>
              <w:rPr>
                <w:sz w:val="20"/>
                <w:szCs w:val="20"/>
                <w:color w:val="auto"/>
              </w:rPr>
            </w:pPr>
            <w:r>
              <w:rPr>
                <w:rFonts w:ascii="Times New Roman" w:cs="Times New Roman" w:eastAsia="Times New Roman" w:hAnsi="Times New Roman"/>
                <w:sz w:val="18"/>
                <w:szCs w:val="18"/>
                <w:color w:val="auto"/>
                <w:w w:val="99"/>
              </w:rPr>
              <w:t>28</w:t>
            </w:r>
          </w:p>
        </w:tc>
      </w:tr>
      <w:tr>
        <w:trPr>
          <w:trHeight w:val="236"/>
        </w:trPr>
        <w:tc>
          <w:tcPr>
            <w:tcW w:w="6080" w:type="dxa"/>
            <w:vAlign w:val="bottom"/>
            <w:tcBorders>
              <w:left w:val="single" w:sz="8" w:color="auto"/>
              <w:bottom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PC14586 50 mg/kg + Anti-PD-1 200 mg/kg</w:t>
            </w:r>
          </w:p>
        </w:tc>
        <w:tc>
          <w:tcPr>
            <w:tcW w:w="4020" w:type="dxa"/>
            <w:vAlign w:val="bottom"/>
            <w:tcBorders>
              <w:bottom w:val="single" w:sz="8" w:color="auto"/>
              <w:right w:val="single" w:sz="8" w:color="auto"/>
            </w:tcBorders>
          </w:tcPr>
          <w:p>
            <w:pPr>
              <w:jc w:val="center"/>
              <w:ind w:left="1254"/>
              <w:spacing w:after="0"/>
              <w:rPr>
                <w:sz w:val="20"/>
                <w:szCs w:val="20"/>
                <w:color w:val="auto"/>
              </w:rPr>
            </w:pPr>
            <w:r>
              <w:rPr>
                <w:rFonts w:ascii="Times New Roman" w:cs="Times New Roman" w:eastAsia="Times New Roman" w:hAnsi="Times New Roman"/>
                <w:sz w:val="18"/>
                <w:szCs w:val="18"/>
                <w:color w:val="auto"/>
                <w:w w:val="96"/>
              </w:rPr>
              <w:t>&gt;156</w:t>
            </w:r>
          </w:p>
        </w:tc>
      </w:tr>
    </w:tbl>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Dosing ceased on day 70 in the PC14586 + Anti-PD-1 arm.</w:t>
      </w: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 of PC14586</w:t>
      </w:r>
    </w:p>
    <w:p>
      <w:pPr>
        <w:spacing w:after="0" w:line="121" w:lineRule="exact"/>
        <w:rPr>
          <w:sz w:val="20"/>
          <w:szCs w:val="20"/>
          <w:color w:val="auto"/>
        </w:rPr>
      </w:pPr>
    </w:p>
    <w:p>
      <w:pPr>
        <w:jc w:val="both"/>
        <w:ind w:right="180" w:firstLine="644"/>
        <w:spacing w:after="0" w:line="265" w:lineRule="auto"/>
        <w:rPr>
          <w:sz w:val="20"/>
          <w:szCs w:val="20"/>
          <w:color w:val="auto"/>
        </w:rPr>
      </w:pPr>
      <w:r>
        <w:rPr>
          <w:rFonts w:ascii="Times New Roman" w:cs="Times New Roman" w:eastAsia="Times New Roman" w:hAnsi="Times New Roman"/>
          <w:sz w:val="18"/>
          <w:szCs w:val="18"/>
          <w:color w:val="auto"/>
        </w:rPr>
        <w:t>We initiated a Phase 1/2 clinical trial, PYNNACLE, for PC14586 in October 2020. In addition, we were granted FDA Fast Track designation of PC14586 for the treatment of patients with locally advanced or metastatic solid tumors with a p53 Y220C mutation in October 2020. We dosed our first patient in this clinical trial in the fourth quarter of 2020.</w:t>
      </w:r>
    </w:p>
    <w:p>
      <w:pPr>
        <w:spacing w:after="0" w:line="6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In June 2022, we provided an update on the Phase 1/2 trial at the 2022 American Society for Clinical Oncology (ASCO) Annual Meeting. The interim data, as of a May 10, 2022 efficacy data cutoff date, included enrollment of 41 patients with the p53 Y220C mutation, 33 of whom had measurable disease and were included in the primary analysis. Patients in the study had a median age of 62 (range of 32-74 years of age) with a range of tumor types and were heavily pretreated with a median of three prior lines of therapy. Of these patients, 25 patients with measurable disease were treated in the efficacious dose range, which was defined as a dose from 1150mg QD to 1500mg BID. In the efficacious dose range, partial responses were observed by investigator review (RECIST v1.1) in 32% (six confirmed partial responses and two partial responses pending confirmation as of the cutoff date) across six different tumor types. Best response of stable disease (SD) or PR was observed in 19 of the 25 patients (76%) in the efficacious dose range.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7" w:name="page18"/>
    <w:bookmarkEnd w:id="17"/>
    <w:p>
      <w:pPr>
        <w:ind w:right="440" w:firstLine="644"/>
        <w:spacing w:after="0" w:line="281" w:lineRule="auto"/>
        <w:rPr>
          <w:sz w:val="20"/>
          <w:szCs w:val="20"/>
          <w:color w:val="auto"/>
        </w:rPr>
      </w:pPr>
      <w:r>
        <w:rPr>
          <w:rFonts w:ascii="Times New Roman" w:cs="Times New Roman" w:eastAsia="Times New Roman" w:hAnsi="Times New Roman"/>
          <w:sz w:val="18"/>
          <w:szCs w:val="18"/>
          <w:color w:val="auto"/>
        </w:rPr>
        <w:t>In the ongoing monotherapy dose escalation phase of our trial, we continue to enroll patients to evaluate the preliminary safety, efficacy, and pharmacokinetics of PC14586 to establish the recommended dose for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-21590</wp:posOffset>
            </wp:positionV>
            <wp:extent cx="5342890" cy="2748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2890" cy="274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PC14586 was observed to be generally well-tolerated (across 41 patients treated with PC14586 monotherapy as of May 10, 2022). The majority of adverse events were mild or moderate (Grade 1 or 2) in severity with the most frequent adverse events being nausea, vomiting, aspartate transaminase (AST)/alanine transaminase (ALT) increase, anemia, blood creatine increase and fatigue.</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PC14586 in a Clinical Collaboration with Merck</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As a result of the preclinical combination data with PC14586 and an anti-PD1 antibody, we are evaluating this combination in patients. In July 2022, we announced a clinical collaboration agreement with Merck to evaluate the combination of PC14586 and Merck’s anti-PD1 antibody, KEYTRUDA (pembrolizumab), in patients with advanced solid tumors in patients with a p53 Y220C mutation. This study is being conducted as a separate arm of our ongoing Phase 1/2 PYNNACLE trial in patients with advanced solid tumors. Approximately 36 patients are expected to be enrolled in the combination arm of the trial. This combination arm will assess the safety, tolerability, pharmacokinetics, pharmacodynamics, and preliminary efficacy of PC14586 in combination with KEYTRUDA in patients with advanced solid tumors harboring a p53 Y220C mutation. Under the terms of the agreement, we will sponsor the trial and Merck will supply KEYTRUDA. In December 2022, we initiated enrollment in the PC14586 + pembrolizumab arm of the PYNNACLE study.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R282W: Our Second Mutant p53 Program</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R282W is the sixth most frequent p53 mutation and accounts for approximately 2.8% of all TP53 mutations. The R282W mutation results from arginine being substituted by a tryptophan at amino acid position 282 and is considered a structural mutation. This structural mutation is thermodynamically unstable and cause the protein to lose shape and therefore its wild-type DNA binding activity at physiological temperature. This results in a lack of p53 transcription and pathway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144145</wp:posOffset>
            </wp:positionV>
            <wp:extent cx="2663190" cy="2663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63190" cy="266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firstLine="644"/>
        <w:spacing w:after="0" w:line="281" w:lineRule="auto"/>
        <w:rPr>
          <w:sz w:val="20"/>
          <w:szCs w:val="20"/>
          <w:color w:val="auto"/>
        </w:rPr>
      </w:pPr>
      <w:r>
        <w:rPr>
          <w:rFonts w:ascii="Times New Roman" w:cs="Times New Roman" w:eastAsia="Times New Roman" w:hAnsi="Times New Roman"/>
          <w:sz w:val="18"/>
          <w:szCs w:val="18"/>
          <w:color w:val="auto"/>
        </w:rPr>
        <w:t>We are generating molecules designed to structurally correct the R282W p53 protein to restore its binding to the DNA. Our R282W program continues to progress towards lead optimization.</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Pipeline Programs</w:t>
      </w:r>
    </w:p>
    <w:p>
      <w:pPr>
        <w:spacing w:after="0" w:line="229" w:lineRule="exact"/>
        <w:rPr>
          <w:sz w:val="20"/>
          <w:szCs w:val="20"/>
          <w:color w:val="auto"/>
        </w:rPr>
      </w:pPr>
    </w:p>
    <w:p>
      <w:pPr>
        <w:jc w:val="both"/>
        <w:ind w:right="360" w:firstLine="644"/>
        <w:spacing w:after="0" w:line="265" w:lineRule="auto"/>
        <w:rPr>
          <w:sz w:val="20"/>
          <w:szCs w:val="20"/>
          <w:color w:val="auto"/>
        </w:rPr>
      </w:pPr>
      <w:r>
        <w:rPr>
          <w:rFonts w:ascii="Times New Roman" w:cs="Times New Roman" w:eastAsia="Times New Roman" w:hAnsi="Times New Roman"/>
          <w:sz w:val="18"/>
          <w:szCs w:val="18"/>
          <w:color w:val="auto"/>
        </w:rPr>
        <w:t>In addition to our PC14586 Y220C and R282W programs, we are focused on developing a pipeline of product candidates targeting other p53 hotspot mutations and targeting inhibitors of wild-type p53. These programs have been developed internally using our precision oncology platform and expertise.</w:t>
      </w:r>
    </w:p>
    <w:p>
      <w:pPr>
        <w:spacing w:after="0" w:line="177"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We are able to utilize the same general principles and similar drug discovery methods developed from our PC14586 Y220C program across other p53 hotspot mutations to facilitate the discovery of additional new product candidates. We study the structural and functional properties of the target. We use assays, screens, preclinical model systems and biomarkers to assess and optimize selective small molecules for specific p53 mutants. Specifically, many of the efficiencies from assays and model systems developed for our PC14586 Y220C program are being applied to other p53 hotspot mutations. In addition, the key insights gained from the medicinal chemistry campaigns are being leveraged across other p53 hotspot mutations. By leveraging our team’s depth of expertise around p53, we are positioned to accelerate our efforts to expand the pipeline of therapies that selectively target p53 hotspot mutations and other p53-related cancers.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6"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therapies targeting p53 mutations and other p53-related cancers.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Aprea Therapeutics and Jacobio Pharmaceuticals,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Daiichi Sankyo (out-licensed worldwide rights to Rain Therapeutics), Kartos Therapeutics, Kymera Therapeutics, Otsuka Pharmaceutical, Novartis and Roche, including testing MDM2 inhibitors in combination with a variety of other anti-cancer agents.</w:t>
      </w:r>
    </w:p>
    <w:p>
      <w:pPr>
        <w:spacing w:after="0" w:line="189" w:lineRule="exact"/>
        <w:rPr>
          <w:sz w:val="20"/>
          <w:szCs w:val="20"/>
          <w:color w:val="auto"/>
        </w:rPr>
      </w:pPr>
    </w:p>
    <w:p>
      <w:pPr>
        <w:ind w:right="380" w:firstLine="644"/>
        <w:spacing w:after="0" w:line="260"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82"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2" w:lineRule="exact"/>
        <w:rPr>
          <w:sz w:val="20"/>
          <w:szCs w:val="20"/>
          <w:color w:val="auto"/>
        </w:rPr>
      </w:pPr>
    </w:p>
    <w:p>
      <w:pPr>
        <w:ind w:right="440" w:firstLine="644"/>
        <w:spacing w:after="0" w:line="260" w:lineRule="auto"/>
        <w:rPr>
          <w:sz w:val="20"/>
          <w:szCs w:val="20"/>
          <w:color w:val="auto"/>
        </w:rPr>
      </w:pPr>
      <w:r>
        <w:rPr>
          <w:rFonts w:ascii="Times New Roman" w:cs="Times New Roman" w:eastAsia="Times New Roman" w:hAnsi="Times New Roman"/>
          <w:sz w:val="18"/>
          <w:szCs w:val="18"/>
          <w:color w:val="auto"/>
        </w:rPr>
        <w:t>In addition, we will likely need to develop our product candidates in collaboration with companion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00" w:firstLine="644"/>
        <w:spacing w:after="0" w:line="265"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manufacture of our product candidates undergoing preclinical and clinical testing, as well as for commercial manufacture if our product candidates receive marketing approval.</w:t>
      </w:r>
    </w:p>
    <w:p>
      <w:pPr>
        <w:spacing w:after="0" w:line="177" w:lineRule="exact"/>
        <w:rPr>
          <w:sz w:val="20"/>
          <w:szCs w:val="20"/>
          <w:color w:val="auto"/>
        </w:rPr>
      </w:pPr>
    </w:p>
    <w:p>
      <w:pPr>
        <w:jc w:val="both"/>
        <w:ind w:right="300" w:firstLine="644"/>
        <w:spacing w:after="0" w:line="265" w:lineRule="auto"/>
        <w:rPr>
          <w:sz w:val="20"/>
          <w:szCs w:val="20"/>
          <w:color w:val="auto"/>
        </w:rPr>
      </w:pPr>
      <w:r>
        <w:rPr>
          <w:rFonts w:ascii="Times New Roman" w:cs="Times New Roman" w:eastAsia="Times New Roman" w:hAnsi="Times New Roman"/>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77"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77"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180" w:firstLine="644"/>
        <w:spacing w:after="0" w:line="265" w:lineRule="auto"/>
        <w:rPr>
          <w:sz w:val="20"/>
          <w:szCs w:val="20"/>
          <w:color w:val="auto"/>
        </w:rPr>
      </w:pPr>
      <w:r>
        <w:rPr>
          <w:rFonts w:ascii="Times New Roman" w:cs="Times New Roman" w:eastAsia="Times New Roman" w:hAnsi="Times New Roman"/>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77" w:lineRule="exact"/>
        <w:rPr>
          <w:sz w:val="20"/>
          <w:szCs w:val="20"/>
          <w:color w:val="auto"/>
        </w:rPr>
      </w:pPr>
    </w:p>
    <w:p>
      <w:pPr>
        <w:ind w:right="240" w:firstLine="644"/>
        <w:spacing w:after="0" w:line="260" w:lineRule="auto"/>
        <w:rPr>
          <w:sz w:val="20"/>
          <w:szCs w:val="20"/>
          <w:color w:val="auto"/>
        </w:rPr>
      </w:pPr>
      <w:r>
        <w:rPr>
          <w:rFonts w:ascii="Times New Roman" w:cs="Times New Roman" w:eastAsia="Times New Roman" w:hAnsi="Times New Roman"/>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92"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firstLine="644"/>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95"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86" w:lineRule="exact"/>
        <w:rPr>
          <w:sz w:val="20"/>
          <w:szCs w:val="20"/>
          <w:color w:val="auto"/>
        </w:rPr>
      </w:pPr>
    </w:p>
    <w:p>
      <w:pPr>
        <w:ind w:right="80" w:firstLine="644"/>
        <w:spacing w:after="0" w:line="252" w:lineRule="auto"/>
        <w:rPr>
          <w:sz w:val="20"/>
          <w:szCs w:val="20"/>
          <w:color w:val="auto"/>
        </w:rPr>
      </w:pPr>
      <w:r>
        <w:rPr>
          <w:rFonts w:ascii="Times New Roman" w:cs="Times New Roman" w:eastAsia="Times New Roman" w:hAnsi="Times New Roman"/>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January 31, 2023, we owned three issued US patents and five granted foreign patents relating to methods of use and composition of matter of PMV compounds, including PC14586, at least 20 pending US patent applications, and at least 40 pending foreign patent applications, each of which relates to methods of use and composition of matter of PMV compounds. The three issued US patents are expected to expire in 2037, without taking into account any possible patent term adjustment or extensions.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21" w:lineRule="exact"/>
        <w:rPr>
          <w:sz w:val="20"/>
          <w:szCs w:val="20"/>
          <w:color w:val="auto"/>
        </w:rPr>
      </w:pPr>
    </w:p>
    <w:p>
      <w:pPr>
        <w:ind w:right="200" w:firstLine="644"/>
        <w:spacing w:after="0" w:line="281" w:lineRule="auto"/>
        <w:rPr>
          <w:sz w:val="20"/>
          <w:szCs w:val="20"/>
          <w:color w:val="auto"/>
        </w:rPr>
      </w:pPr>
      <w:r>
        <w:rPr>
          <w:rFonts w:ascii="Times New Roman" w:cs="Times New Roman" w:eastAsia="Times New Roman" w:hAnsi="Times New Roman"/>
          <w:sz w:val="18"/>
          <w:szCs w:val="18"/>
          <w:color w:val="auto"/>
        </w:rPr>
        <w:t>In the United States, the FDA regulates drugs under the Food, Drug and Cosmetic Act, or FDCA, and its implementing regulations. The process required by the FDA before a drug may be marketed in the United States generally involves the following:</w:t>
      </w:r>
    </w:p>
    <w:p>
      <w:pPr>
        <w:spacing w:after="0" w:line="55" w:lineRule="exact"/>
        <w:rPr>
          <w:sz w:val="20"/>
          <w:szCs w:val="20"/>
          <w:color w:val="auto"/>
        </w:rPr>
      </w:pPr>
    </w:p>
    <w:p>
      <w:pPr>
        <w:ind w:left="960" w:right="740" w:hanging="294"/>
        <w:spacing w:after="0" w:line="28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FDA’s good laboratory practice requirements and other applicable regulations;</w:t>
      </w:r>
    </w:p>
    <w:p>
      <w:pPr>
        <w:spacing w:after="0" w:line="54"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each trial may be initiated;</w:t>
      </w:r>
    </w:p>
    <w:p>
      <w:pPr>
        <w:spacing w:after="0" w:line="116" w:lineRule="exact"/>
        <w:rPr>
          <w:rFonts w:ascii="Times New Roman" w:cs="Times New Roman" w:eastAsia="Times New Roman" w:hAnsi="Times New Roman"/>
          <w:sz w:val="18"/>
          <w:szCs w:val="18"/>
          <w:color w:val="auto"/>
        </w:rPr>
      </w:pPr>
    </w:p>
    <w:p>
      <w:pPr>
        <w:ind w:left="960" w:right="20" w:hanging="294"/>
        <w:spacing w:after="0" w:line="28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4"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after completion of all pivotal trials;</w:t>
      </w:r>
    </w:p>
    <w:p>
      <w:pPr>
        <w:spacing w:after="0" w:line="116"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an NDA to accept the filing for substantive review;</w:t>
      </w:r>
    </w:p>
    <w:p>
      <w:pPr>
        <w:spacing w:after="0" w:line="116"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6" w:lineRule="exact"/>
        <w:rPr>
          <w:rFonts w:ascii="Times New Roman" w:cs="Times New Roman" w:eastAsia="Times New Roman" w:hAnsi="Times New Roman"/>
          <w:sz w:val="18"/>
          <w:szCs w:val="18"/>
          <w:color w:val="auto"/>
        </w:rPr>
      </w:pPr>
    </w:p>
    <w:p>
      <w:pPr>
        <w:ind w:left="960" w:right="220" w:hanging="294"/>
        <w:spacing w:after="0" w:line="265"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69" w:lineRule="exact"/>
        <w:rPr>
          <w:rFonts w:ascii="Times New Roman" w:cs="Times New Roman" w:eastAsia="Times New Roman" w:hAnsi="Times New Roman"/>
          <w:sz w:val="18"/>
          <w:szCs w:val="18"/>
          <w:color w:val="auto"/>
        </w:rPr>
      </w:pPr>
    </w:p>
    <w:p>
      <w:pPr>
        <w:ind w:left="960" w:hanging="29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United States.</w:t>
      </w:r>
    </w:p>
    <w:p>
      <w:pPr>
        <w:spacing w:after="0" w:line="22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4" w:name="page25"/>
    <w:bookmarkEnd w:id="24"/>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940" w:right="140" w:hanging="288"/>
        <w:spacing w:after="0" w:line="258"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74" w:lineRule="exact"/>
        <w:rPr>
          <w:rFonts w:ascii="Times New Roman" w:cs="Times New Roman" w:eastAsia="Times New Roman" w:hAnsi="Times New Roman"/>
          <w:sz w:val="18"/>
          <w:szCs w:val="18"/>
          <w:color w:val="auto"/>
        </w:rPr>
      </w:pPr>
    </w:p>
    <w:p>
      <w:pPr>
        <w:jc w:val="both"/>
        <w:ind w:left="940" w:hanging="288"/>
        <w:spacing w:after="0" w:line="265"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9" w:lineRule="exact"/>
        <w:rPr>
          <w:rFonts w:ascii="Times New Roman" w:cs="Times New Roman" w:eastAsia="Times New Roman" w:hAnsi="Times New Roman"/>
          <w:sz w:val="18"/>
          <w:szCs w:val="18"/>
          <w:color w:val="auto"/>
        </w:rPr>
      </w:pPr>
    </w:p>
    <w:p>
      <w:pPr>
        <w:jc w:val="both"/>
        <w:ind w:left="940" w:right="40" w:hanging="288"/>
        <w:spacing w:after="0" w:line="288"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9" w:lineRule="exact"/>
        <w:rPr>
          <w:sz w:val="20"/>
          <w:szCs w:val="20"/>
          <w:color w:val="auto"/>
        </w:rPr>
      </w:pPr>
    </w:p>
    <w:p>
      <w:pPr>
        <w:ind w:right="380" w:firstLine="644"/>
        <w:spacing w:after="0" w:line="260" w:lineRule="auto"/>
        <w:rPr>
          <w:sz w:val="20"/>
          <w:szCs w:val="20"/>
          <w:color w:val="auto"/>
        </w:rPr>
      </w:pPr>
      <w:r>
        <w:rPr>
          <w:rFonts w:ascii="Times New Roman" w:cs="Times New Roman" w:eastAsia="Times New Roman" w:hAnsi="Times New Roman"/>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8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8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8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8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To the extent our clinical trial plans and future planned clinical trials may be adversely affected, delayed or interrupted by the ongoing COVID-19 pandemic, we may be required to develop and implement additional clinical trial policies and procedures designed to help protect subjects participating in clinical trials during the COVID-19 pandemic. For example, since March 2020, the FDA has issued various COVID-19 related guidance documents for trial sponsors and manufacturers, including guidance on conducting clinical trials during the pandemic, cGMP requirements, remote interactive evaluations of drug manufacturing and bioresearch monitoring facilities, and drug product manufacturing and supply chain inspections, among others. The extent to which the COVID-19 pandemic impacts our business, preclinical studies and clinical trials will depend on future developments, which are highly uncertain and cannot be predicted with confidence. Recently, President Biden announced that the administration intends to end the COVID-19 national and public health emergencies on May 11, 2023. The full impact of the termination of the public health emergencies on FDA and other regulatory policies and operations are unclear.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Review and Approval Process</w:t>
      </w:r>
    </w:p>
    <w:p>
      <w:pPr>
        <w:spacing w:after="0" w:line="121"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86"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89" w:lineRule="exact"/>
        <w:rPr>
          <w:sz w:val="20"/>
          <w:szCs w:val="20"/>
          <w:color w:val="auto"/>
        </w:rPr>
      </w:pPr>
    </w:p>
    <w:p>
      <w:pPr>
        <w:jc w:val="both"/>
        <w:ind w:right="40" w:firstLine="644"/>
        <w:spacing w:after="0" w:line="260"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6" w:name="page27"/>
    <w:bookmarkEnd w:id="26"/>
    <w:p>
      <w:pPr>
        <w:ind w:right="20" w:firstLine="644"/>
        <w:spacing w:after="0" w:line="274" w:lineRule="auto"/>
        <w:rPr>
          <w:sz w:val="20"/>
          <w:szCs w:val="20"/>
          <w:color w:val="auto"/>
        </w:rPr>
      </w:pPr>
      <w:r>
        <w:rPr>
          <w:rFonts w:ascii="Times New Roman" w:cs="Times New Roman" w:eastAsia="Times New Roman" w:hAnsi="Times New Roman"/>
          <w:sz w:val="17"/>
          <w:szCs w:val="17"/>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87"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9"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7"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89"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89" w:lineRule="exact"/>
        <w:rPr>
          <w:sz w:val="20"/>
          <w:szCs w:val="20"/>
          <w:color w:val="auto"/>
        </w:rPr>
      </w:pPr>
    </w:p>
    <w:p>
      <w:pPr>
        <w:ind w:right="160" w:firstLine="644"/>
        <w:spacing w:after="0" w:line="260" w:lineRule="auto"/>
        <w:rPr>
          <w:sz w:val="20"/>
          <w:szCs w:val="20"/>
          <w:color w:val="auto"/>
        </w:rPr>
      </w:pPr>
      <w:r>
        <w:rPr>
          <w:rFonts w:ascii="Times New Roman" w:cs="Times New Roman" w:eastAsia="Times New Roman" w:hAnsi="Times New Roman"/>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9"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4" w:lineRule="exact"/>
        <w:rPr>
          <w:sz w:val="20"/>
          <w:szCs w:val="20"/>
          <w:color w:val="auto"/>
        </w:rPr>
      </w:pPr>
    </w:p>
    <w:p>
      <w:pPr>
        <w:ind w:left="940" w:hanging="288"/>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16" w:lineRule="exact"/>
        <w:rPr>
          <w:rFonts w:ascii="Times New Roman" w:cs="Times New Roman" w:eastAsia="Times New Roman" w:hAnsi="Times New Roman"/>
          <w:sz w:val="18"/>
          <w:szCs w:val="18"/>
          <w:color w:val="auto"/>
        </w:rPr>
      </w:pPr>
    </w:p>
    <w:p>
      <w:pPr>
        <w:ind w:left="940" w:right="240" w:hanging="288"/>
        <w:spacing w:after="0" w:line="281"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6" w:lineRule="exact"/>
        <w:rPr>
          <w:rFonts w:ascii="Times New Roman" w:cs="Times New Roman" w:eastAsia="Times New Roman" w:hAnsi="Times New Roman"/>
          <w:sz w:val="18"/>
          <w:szCs w:val="18"/>
          <w:color w:val="auto"/>
        </w:rPr>
      </w:pPr>
    </w:p>
    <w:p>
      <w:pPr>
        <w:ind w:left="940" w:right="280" w:hanging="288"/>
        <w:spacing w:after="0" w:line="281"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9" w:name="page30"/>
    <w:bookmarkEnd w:id="29"/>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9"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82"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89"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0" w:name="page31"/>
    <w:bookmarkEnd w:id="30"/>
    <w:p>
      <w:pPr>
        <w:ind w:firstLine="644"/>
        <w:spacing w:after="0" w:line="255"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FDA intends to continue to apply its longstanding interpretation of the regulations to matters outside of the scope of the</w:t>
      </w:r>
      <w:r>
        <w:rPr>
          <w:rFonts w:ascii="Times New Roman" w:cs="Times New Roman" w:eastAsia="Times New Roman" w:hAnsi="Times New Roman"/>
          <w:sz w:val="18"/>
          <w:szCs w:val="18"/>
          <w:i w:val="1"/>
          <w:iCs w:val="1"/>
          <w:color w:val="auto"/>
        </w:rPr>
        <w:t xml:space="preserve"> Catalyst</w:t>
      </w:r>
      <w:r>
        <w:rPr>
          <w:rFonts w:ascii="Times New Roman" w:cs="Times New Roman" w:eastAsia="Times New Roman" w:hAnsi="Times New Roman"/>
          <w:sz w:val="18"/>
          <w:szCs w:val="18"/>
          <w:color w:val="auto"/>
        </w:rPr>
        <w:t>order –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21" w:lineRule="exact"/>
        <w:rPr>
          <w:sz w:val="20"/>
          <w:szCs w:val="20"/>
          <w:color w:val="auto"/>
        </w:rPr>
      </w:pPr>
    </w:p>
    <w:p>
      <w:pPr>
        <w:ind w:right="60" w:firstLine="644"/>
        <w:spacing w:after="0" w:line="269" w:lineRule="auto"/>
        <w:rPr>
          <w:sz w:val="20"/>
          <w:szCs w:val="20"/>
          <w:color w:val="auto"/>
        </w:rPr>
      </w:pPr>
      <w:r>
        <w:rPr>
          <w:rFonts w:ascii="Times New Roman" w:cs="Times New Roman" w:eastAsia="Times New Roman" w:hAnsi="Times New Roman"/>
          <w:sz w:val="17"/>
          <w:szCs w:val="17"/>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w:t>
      </w:r>
    </w:p>
    <w:p>
      <w:pPr>
        <w:spacing w:after="0" w:line="2" w:lineRule="exact"/>
        <w:rPr>
          <w:sz w:val="20"/>
          <w:szCs w:val="20"/>
          <w:color w:val="auto"/>
        </w:rPr>
      </w:pPr>
    </w:p>
    <w:p>
      <w:pPr>
        <w:jc w:val="both"/>
        <w:ind w:right="140" w:firstLine="8"/>
        <w:spacing w:after="0" w:line="253"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8"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7"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95"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The risk of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2" w:name="page33"/>
    <w:bookmarkEnd w:id="32"/>
    <w:p>
      <w:pPr>
        <w:ind w:right="40" w:firstLine="644"/>
        <w:spacing w:after="0" w:line="270" w:lineRule="auto"/>
        <w:rPr>
          <w:sz w:val="20"/>
          <w:szCs w:val="20"/>
          <w:color w:val="auto"/>
        </w:rPr>
      </w:pPr>
      <w:r>
        <w:rPr>
          <w:rFonts w:ascii="Times New Roman" w:cs="Times New Roman" w:eastAsia="Times New Roman" w:hAnsi="Times New Roman"/>
          <w:sz w:val="17"/>
          <w:szCs w:val="17"/>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78"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9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ind w:right="140" w:firstLine="644"/>
        <w:spacing w:after="0" w:line="280" w:lineRule="auto"/>
        <w:rPr>
          <w:sz w:val="20"/>
          <w:szCs w:val="20"/>
          <w:color w:val="auto"/>
        </w:rPr>
      </w:pPr>
      <w:r>
        <w:rPr>
          <w:rFonts w:ascii="Times New Roman" w:cs="Times New Roman" w:eastAsia="Times New Roman" w:hAnsi="Times New Roman"/>
          <w:sz w:val="17"/>
          <w:szCs w:val="17"/>
          <w:color w:val="auto"/>
        </w:rPr>
        <w:t>Other legislative changes have been proposed and adopted since the ACA was enacted. These changes include aggregate reductions to Medicare payments to providers of 2% per fiscal year, effective April 1, 2013, which will remain in effect through 2031, with the exception of a temporary suspension implemented under various COVID-19 relief legislation from May 1, 2020 through March 31, 2021, unless additional Congressional action is taken. Under current legislation, the actual reduction in Medicare payments can vary from 1% in 2022 to up to 4% in the final fiscal year of this sequester.</w:t>
      </w:r>
    </w:p>
    <w:p>
      <w:pPr>
        <w:spacing w:after="0" w:line="166"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Specifically, there have been several recent U.S. Presidential executive orders,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approved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and future reform measures on us and the pharmaceutical industry as a whole is unclear.</w:t>
      </w:r>
    </w:p>
    <w:p>
      <w:pPr>
        <w:spacing w:after="0" w:line="192"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Regulation of Companion Diagnostics</w:t>
      </w:r>
    </w:p>
    <w:p>
      <w:pPr>
        <w:spacing w:after="0" w:line="121"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product candidates will utilize the PMA pathway.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89"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93"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if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500" w:firstLine="644"/>
        <w:spacing w:after="0" w:line="281" w:lineRule="auto"/>
        <w:rPr>
          <w:sz w:val="20"/>
          <w:szCs w:val="20"/>
          <w:color w:val="auto"/>
        </w:rPr>
      </w:pPr>
      <w:r>
        <w:rPr>
          <w:rFonts w:ascii="Times New Roman" w:cs="Times New Roman" w:eastAsia="Times New Roman" w:hAnsi="Times New Roman"/>
          <w:sz w:val="18"/>
          <w:szCs w:val="18"/>
          <w:color w:val="auto"/>
        </w:rPr>
        <w:t>As of February 28, 2023, we had 62 full-time employees, including 22 employees with Ph.D., M.D. or Pharm.D. degrees. Of these full-time employees, 45 employees are engaged in research and development activities.</w:t>
      </w:r>
    </w:p>
    <w:p>
      <w:pPr>
        <w:spacing w:after="0" w:line="163"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None of our employees are represented by labor unions or covered by collective bargaining agreements. We consider our relationship with our employees to be good.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though the granting of stock-based and cash-based compensation awards, to increase stockholder value and our success by motivating such individuals to perform to the best of their abilities and achieve our objectives.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Initiatives</w:t>
      </w:r>
    </w:p>
    <w:p>
      <w:pPr>
        <w:spacing w:after="0" w:line="229"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As an early clinical-stage precision oncology company, we are rooted in our mission to fundamentally disrupt the course of cancer for patients with p53 gene mutations and other p53-related cancers. We believe integrating responsible environmental, social, and governance principles into our corporate strategy will drive sustainable value creation for our shareholders, employees, patients, and caregivers over the long term. We have formed an internal ESG Working Group with cross-functional senior leadership, and oversight by the nominating and corporate governance committee of our board of directors to oversee our sustainability efforts and have documented our initiatives in our inaugural 2022 ESG Highlights Report, which is available on our website at ir.pmvpharma.com. The content provided in our 2022 ESG Highlights Report or accessible through our website is not incorporated by reference as part of this Annual Report on Form 10-K.</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20" w:firstLine="644"/>
        <w:spacing w:after="0" w:line="260" w:lineRule="auto"/>
        <w:rPr>
          <w:sz w:val="20"/>
          <w:szCs w:val="20"/>
          <w:color w:val="auto"/>
        </w:rPr>
      </w:pPr>
      <w:r>
        <w:rPr>
          <w:rFonts w:ascii="Times New Roman" w:cs="Times New Roman" w:eastAsia="Times New Roman" w:hAnsi="Times New Roman"/>
          <w:sz w:val="18"/>
          <w:szCs w:val="18"/>
          <w:color w:val="auto"/>
        </w:rPr>
        <w:t>We were incorporated in Delaware in March 2013 under the name “PJ Pharmaceuticals, Inc.” In July 2013, we changed our name to “PMV Pharmaceuticals, Inc.” Our principal executive offices are located at 1 Research Way, Princeton, New Jersey 08536. Our telephone number is (609) 642-6670. Our website address is www.pmvpharma.com. Information contained on, or that can be accessible through, our website is not a part of this Annual Report on Form 10-K and the inclusion of our website address in this Annual Report on Form 10-K is an inactive textual reference only.</w:t>
      </w:r>
    </w:p>
    <w:p>
      <w:pPr>
        <w:spacing w:after="0" w:line="18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use the name “PMV Pharma,” the “PMV Pharma” logo and other marks as unregistered trademarks in the United States and other countries. This Annual Report on Form 10-K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6" w:name="page37"/>
    <w:bookmarkEnd w:id="3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659"/>
        <w:spacing w:after="0" w:line="253" w:lineRule="auto"/>
        <w:rPr>
          <w:sz w:val="20"/>
          <w:szCs w:val="20"/>
          <w:color w:val="auto"/>
        </w:rPr>
      </w:pPr>
      <w:r>
        <w:rPr>
          <w:rFonts w:ascii="Times New Roman" w:cs="Times New Roman" w:eastAsia="Times New Roman" w:hAnsi="Times New Roman"/>
          <w:sz w:val="18"/>
          <w:szCs w:val="18"/>
          <w:color w:val="auto"/>
        </w:rPr>
        <w:t>Our Internet address is www.pmvpharma.com. We will file or furnish periodic reports and amendments thereto, including our Annual Reports on Form 10-K, Quarterly Reports on Form 10-Q, Current Reports on Form 8-K (and amendments to those reports), proxy and information statements and other information filed or furnished pursuant to Sections 13(a) and 15(d) of the Securities Exchange Act of 1934, as amended, or the Exchange Act, with the Securities and Exchange Commission, or the SEC. The SEC maintains a website that contains reports, proxy and information statement, and other information regarding issuers that file electronically, which may be accessed through the SEC at http://www.sec.gov. Our reports, amendments thereto, proxy statements and other information are also made available, free of charge, on our investor relations website at ir.pmvpharma.com as soon as reasonably practicable after we electronically file or furnish such information with the SEC. The information contained on the websites referenced in this Annual Report on Form 10-K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Annual Report on Form 10-K, including our financial statements and the related notes appearing elsewhere in this Annual Report on Form 10-K and in our other filings with the SEC,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50" w:lineRule="exact"/>
        <w:rPr>
          <w:sz w:val="20"/>
          <w:szCs w:val="20"/>
          <w:color w:val="auto"/>
        </w:rPr>
      </w:pPr>
    </w:p>
    <w:p>
      <w:pPr>
        <w:ind w:left="940" w:hanging="288"/>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and have no products approved for commercial sale;</w:t>
      </w:r>
    </w:p>
    <w:p>
      <w:pPr>
        <w:spacing w:after="0" w:line="116" w:lineRule="exact"/>
        <w:rPr>
          <w:rFonts w:ascii="Times New Roman" w:cs="Times New Roman" w:eastAsia="Times New Roman" w:hAnsi="Times New Roman"/>
          <w:sz w:val="18"/>
          <w:szCs w:val="18"/>
          <w:color w:val="auto"/>
        </w:rPr>
      </w:pPr>
    </w:p>
    <w:p>
      <w:pPr>
        <w:ind w:left="940" w:right="120" w:hanging="288"/>
        <w:spacing w:after="0" w:line="28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4" w:lineRule="exact"/>
        <w:rPr>
          <w:rFonts w:ascii="Times New Roman" w:cs="Times New Roman" w:eastAsia="Times New Roman" w:hAnsi="Times New Roman"/>
          <w:sz w:val="18"/>
          <w:szCs w:val="18"/>
          <w:color w:val="auto"/>
        </w:rPr>
      </w:pPr>
    </w:p>
    <w:p>
      <w:pPr>
        <w:ind w:left="940" w:right="140" w:hanging="288"/>
        <w:spacing w:after="0" w:line="265"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spacing w:after="0" w:line="69" w:lineRule="exact"/>
        <w:rPr>
          <w:rFonts w:ascii="Times New Roman" w:cs="Times New Roman" w:eastAsia="Times New Roman" w:hAnsi="Times New Roman"/>
          <w:sz w:val="18"/>
          <w:szCs w:val="18"/>
          <w:color w:val="auto"/>
        </w:rPr>
      </w:pPr>
    </w:p>
    <w:p>
      <w:pPr>
        <w:ind w:left="940" w:right="440" w:hanging="288"/>
        <w:spacing w:after="0" w:line="28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w:t>
      </w:r>
    </w:p>
    <w:p>
      <w:pPr>
        <w:spacing w:after="0" w:line="116" w:lineRule="exact"/>
        <w:rPr>
          <w:rFonts w:ascii="Times New Roman" w:cs="Times New Roman" w:eastAsia="Times New Roman" w:hAnsi="Times New Roman"/>
          <w:sz w:val="18"/>
          <w:szCs w:val="18"/>
          <w:color w:val="auto"/>
        </w:rPr>
      </w:pPr>
    </w:p>
    <w:p>
      <w:pPr>
        <w:ind w:left="940" w:right="20" w:hanging="288"/>
        <w:spacing w:after="0" w:line="260"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preclinical and clinical development is focused on the development of precision medicines for patients with genetically defined cancers, which is a rapidly evolving area of science, and the approach we are taking to discover and develop drugs targeting p53 hotspot mutations and other p53-related cancers is novel, may never lead to marketable products and may not ultimately represent a significant market;</w:t>
      </w:r>
    </w:p>
    <w:p>
      <w:pPr>
        <w:spacing w:after="0" w:line="73" w:lineRule="exact"/>
        <w:rPr>
          <w:rFonts w:ascii="Times New Roman" w:cs="Times New Roman" w:eastAsia="Times New Roman" w:hAnsi="Times New Roman"/>
          <w:sz w:val="18"/>
          <w:szCs w:val="18"/>
          <w:color w:val="auto"/>
        </w:rPr>
      </w:pPr>
    </w:p>
    <w:p>
      <w:pPr>
        <w:ind w:left="940" w:right="420" w:hanging="288"/>
        <w:spacing w:after="0" w:line="265"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are substantially dependent on our lead product candidate, PC14586. If we are unable to advance, obtain regulatory approval for and commercialize PC14586, our business, financial condition and results of operations will be materially adversely affected;</w:t>
      </w:r>
    </w:p>
    <w:p>
      <w:pPr>
        <w:spacing w:after="0" w:line="69" w:lineRule="exact"/>
        <w:rPr>
          <w:rFonts w:ascii="Times New Roman" w:cs="Times New Roman" w:eastAsia="Times New Roman" w:hAnsi="Times New Roman"/>
          <w:sz w:val="18"/>
          <w:szCs w:val="18"/>
          <w:color w:val="auto"/>
        </w:rPr>
      </w:pPr>
    </w:p>
    <w:p>
      <w:pPr>
        <w:ind w:left="940" w:right="160" w:hanging="288"/>
        <w:spacing w:after="0" w:line="260"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that we announce for our initial open-label Phase 1/2 clinical trial for PC14586 may change as more patient data become available and are subject to audit and verification procedures that could result in material changes in the final data. If the interim, top-line or preliminary data that we report differ from actual results, our ability to obtain approval for our product candidates may be adversely affected, which could materially adversely affect our business, financial condition and results of operations;</w:t>
      </w:r>
    </w:p>
    <w:p>
      <w:pPr>
        <w:spacing w:after="0" w:line="73" w:lineRule="exact"/>
        <w:rPr>
          <w:rFonts w:ascii="Times New Roman" w:cs="Times New Roman" w:eastAsia="Times New Roman" w:hAnsi="Times New Roman"/>
          <w:sz w:val="18"/>
          <w:szCs w:val="18"/>
          <w:color w:val="auto"/>
        </w:rPr>
      </w:pPr>
    </w:p>
    <w:p>
      <w:pPr>
        <w:ind w:left="940" w:right="260" w:hanging="288"/>
        <w:spacing w:after="0" w:line="312" w:lineRule="auto"/>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subset of cancer patients that we are targeting are expected to have certain p53 mutations and we may not be able to identify a sufficient number of patients whom we can recruit and retain for our clinical trials to obtain approval for our current or future product candidates;</w:t>
      </w:r>
    </w:p>
    <w:p>
      <w:pPr>
        <w:spacing w:after="0" w:line="31" w:lineRule="exact"/>
        <w:rPr>
          <w:rFonts w:ascii="Times New Roman" w:cs="Times New Roman" w:eastAsia="Times New Roman" w:hAnsi="Times New Roman"/>
          <w:sz w:val="17"/>
          <w:szCs w:val="17"/>
          <w:color w:val="auto"/>
        </w:rPr>
      </w:pPr>
    </w:p>
    <w:p>
      <w:pPr>
        <w:ind w:left="940" w:hanging="288"/>
        <w:spacing w:after="0" w:line="265"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or FDA, and other comparable foreign regulatory authorities are lengthy, time consuming and inherently unpredictable. If we are not able to obtain required regulatory approvals for our product candidates, we will not be able to commercialize our product candidates, and our ability to generate revenue will be materially impaired;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ind w:left="940" w:right="260" w:hanging="288"/>
        <w:spacing w:after="0" w:line="281"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plan to rely in the future, on third parties to conduct and support preclinical and clinical development, and these third parties may not meet expectations;</w:t>
      </w:r>
    </w:p>
    <w:p>
      <w:pPr>
        <w:spacing w:after="0" w:line="54" w:lineRule="exact"/>
        <w:rPr>
          <w:rFonts w:ascii="Times New Roman" w:cs="Times New Roman" w:eastAsia="Times New Roman" w:hAnsi="Times New Roman"/>
          <w:sz w:val="18"/>
          <w:szCs w:val="18"/>
          <w:color w:val="auto"/>
        </w:rPr>
      </w:pPr>
    </w:p>
    <w:p>
      <w:pPr>
        <w:ind w:left="940" w:right="160" w:hanging="288"/>
        <w:spacing w:after="0" w:line="281"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and other intellectual property protection for our product candidates and technology, our competitors could develop and commercialize products and technology similar or identical to ours;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and</w:t>
      </w:r>
    </w:p>
    <w:p>
      <w:pPr>
        <w:spacing w:after="0" w:line="116" w:lineRule="exact"/>
        <w:rPr>
          <w:rFonts w:ascii="Times New Roman" w:cs="Times New Roman" w:eastAsia="Times New Roman" w:hAnsi="Times New Roman"/>
          <w:sz w:val="18"/>
          <w:szCs w:val="18"/>
          <w:color w:val="auto"/>
        </w:rPr>
      </w:pPr>
    </w:p>
    <w:p>
      <w:pPr>
        <w:ind w:left="940" w:right="60" w:hanging="288"/>
        <w:spacing w:after="0" w:line="281"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companion diagnostics with third party collaborators, which must also separately be approved as medical devices by the FDA.</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Business, Financial Condition, Results of Operations and Need for Additional Capital</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50" w:lineRule="exact"/>
        <w:rPr>
          <w:sz w:val="20"/>
          <w:szCs w:val="20"/>
          <w:color w:val="auto"/>
        </w:rPr>
      </w:pPr>
    </w:p>
    <w:p>
      <w:pPr>
        <w:ind w:right="40" w:firstLine="644"/>
        <w:spacing w:after="0" w:line="269" w:lineRule="auto"/>
        <w:rPr>
          <w:sz w:val="20"/>
          <w:szCs w:val="20"/>
          <w:color w:val="auto"/>
        </w:rPr>
      </w:pPr>
      <w:r>
        <w:rPr>
          <w:rFonts w:ascii="Times New Roman" w:cs="Times New Roman" w:eastAsia="Times New Roman" w:hAnsi="Times New Roman"/>
          <w:sz w:val="17"/>
          <w:szCs w:val="17"/>
          <w:color w:val="auto"/>
        </w:rPr>
        <w:t>We are a 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more recently, clinical studies, and establishing arrangements with third parties for the manufacture of initial quantities of product candidates. In September 2020, our lead product candidate, PC14586, received authorization to proceed under an investigational new drug application, or IND, with the FDA. Then, in October 2020, we received Fast Track designation for PC14586, from the FDA, and in the fourth quarter of 2020, we initiated patient dosing in our Phase 1/2 clinical trial of PC14586. We announced preliminary results from the Phase 1/2 clinical trial of PC14586 in June 2022, and have entered into a clinical trial collaboration with Merck to evaluate PC14586 in combination with Merck’s anti-PD-1 therapy, KEYTRUDA, in patients with advanced solid tumors harboring a p53 Y220C mutation. We have not demonstrated an ability to successfully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79" w:lineRule="exact"/>
        <w:rPr>
          <w:sz w:val="20"/>
          <w:szCs w:val="20"/>
          <w:color w:val="auto"/>
        </w:rPr>
      </w:pPr>
    </w:p>
    <w:p>
      <w:pPr>
        <w:ind w:right="260" w:firstLine="644"/>
        <w:spacing w:after="0" w:line="265" w:lineRule="auto"/>
        <w:rPr>
          <w:sz w:val="20"/>
          <w:szCs w:val="20"/>
          <w:color w:val="auto"/>
        </w:rPr>
      </w:pPr>
      <w:r>
        <w:rPr>
          <w:rFonts w:ascii="Times New Roman" w:cs="Times New Roman" w:eastAsia="Times New Roman" w:hAnsi="Times New Roman"/>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28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50"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 and our initial public offering.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We have incurred significant net losses in each period since we commenced operations in March 2013. Our net losses were $73.3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$57.8 million for the years ended December 31, 2022 and 2021, respectively. As of December 31, 2022, we had an accumulated deficit of $241.0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losses have resulted from expenses incurred in connection with our research and development programs and from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costs associated with our operations. Additionally, the net losses we incur may fluctuate significantly from quarter to quarter such that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period-to-period comparison of our results of operations may not be a good indicator of our future performance.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117" w:lineRule="exact"/>
        <w:rPr>
          <w:sz w:val="20"/>
          <w:szCs w:val="20"/>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and submit investigational new drug, or IND, applications for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demonstrate adequate efficacy or an acceptable safety profile in our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rFonts w:ascii="Times New Roman" w:cs="Times New Roman" w:eastAsia="Times New Roman" w:hAnsi="Times New Roman"/>
          <w:sz w:val="18"/>
          <w:szCs w:val="18"/>
          <w:color w:val="auto"/>
        </w:rPr>
      </w:pPr>
    </w:p>
    <w:p>
      <w:pPr>
        <w:ind w:left="940" w:right="420" w:hanging="288"/>
        <w:spacing w:after="0" w:line="281"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enforce and protect our intellectual property portfolio;</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0" w:name="page41"/>
    <w:bookmarkEnd w:id="40"/>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66"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announced preliminary results for our Phase 1/2 clinical trial of our lead product candidate, PC14586, in June 2022. We are continuing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In addition, all of our other product candidates are still in preclinical development and have not been evaluated in humans. We face significant translational 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78" w:lineRule="exact"/>
        <w:rPr>
          <w:sz w:val="20"/>
          <w:szCs w:val="20"/>
          <w:color w:val="auto"/>
        </w:rPr>
      </w:pPr>
    </w:p>
    <w:p>
      <w:pPr>
        <w:ind w:left="940" w:right="380" w:hanging="288"/>
        <w:spacing w:after="0" w:line="265"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our clinical trials for our lead product candidate, PC14586, and timely initiation and completion of our preclinical studies for our future product candidates, which may be significantly slower or cost more than we currently anticipate and will depend substantially upon the performance of third-party contractors;</w:t>
      </w:r>
    </w:p>
    <w:p>
      <w:pPr>
        <w:spacing w:after="0" w:line="69" w:lineRule="exact"/>
        <w:rPr>
          <w:rFonts w:ascii="Times New Roman" w:cs="Times New Roman" w:eastAsia="Times New Roman" w:hAnsi="Times New Roman"/>
          <w:sz w:val="18"/>
          <w:szCs w:val="18"/>
          <w:color w:val="auto"/>
        </w:rPr>
      </w:pPr>
    </w:p>
    <w:p>
      <w:pPr>
        <w:ind w:left="940" w:right="300" w:hanging="288"/>
        <w:spacing w:after="0" w:line="28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of PC14586 and our future product candidates;</w:t>
      </w:r>
    </w:p>
    <w:p>
      <w:pPr>
        <w:spacing w:after="0" w:line="54" w:lineRule="exact"/>
        <w:rPr>
          <w:rFonts w:ascii="Times New Roman" w:cs="Times New Roman" w:eastAsia="Times New Roman" w:hAnsi="Times New Roman"/>
          <w:sz w:val="18"/>
          <w:szCs w:val="18"/>
          <w:color w:val="auto"/>
        </w:rPr>
      </w:pPr>
    </w:p>
    <w:p>
      <w:pPr>
        <w:ind w:left="940" w:right="640" w:hanging="288"/>
        <w:spacing w:after="0" w:line="28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IND-enabling studies and successfully submit and receive authorization to proceed under INDs or comparable applications;</w:t>
      </w:r>
    </w:p>
    <w:p>
      <w:pPr>
        <w:spacing w:after="0" w:line="54" w:lineRule="exact"/>
        <w:rPr>
          <w:rFonts w:ascii="Times New Roman" w:cs="Times New Roman" w:eastAsia="Times New Roman" w:hAnsi="Times New Roman"/>
          <w:sz w:val="18"/>
          <w:szCs w:val="18"/>
          <w:color w:val="auto"/>
        </w:rPr>
      </w:pPr>
    </w:p>
    <w:p>
      <w:pPr>
        <w:ind w:left="940" w:right="280" w:hanging="288"/>
        <w:spacing w:after="0" w:line="28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54" w:lineRule="exact"/>
        <w:rPr>
          <w:rFonts w:ascii="Times New Roman" w:cs="Times New Roman" w:eastAsia="Times New Roman" w:hAnsi="Times New Roman"/>
          <w:sz w:val="18"/>
          <w:szCs w:val="18"/>
          <w:color w:val="auto"/>
        </w:rPr>
      </w:pPr>
    </w:p>
    <w:p>
      <w:pPr>
        <w:ind w:left="940" w:right="40" w:hanging="288"/>
        <w:spacing w:after="0" w:line="265"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9"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or future product candidates, if any;</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comparable foreign regulatory authorities;</w:t>
      </w:r>
    </w:p>
    <w:p>
      <w:pPr>
        <w:spacing w:after="0" w:line="116" w:lineRule="exact"/>
        <w:rPr>
          <w:rFonts w:ascii="Times New Roman" w:cs="Times New Roman" w:eastAsia="Times New Roman" w:hAnsi="Times New Roman"/>
          <w:sz w:val="18"/>
          <w:szCs w:val="18"/>
          <w:color w:val="auto"/>
        </w:rPr>
      </w:pPr>
    </w:p>
    <w:p>
      <w:pPr>
        <w:ind w:left="940" w:right="220" w:hanging="288"/>
        <w:spacing w:after="0" w:line="28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4"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4" w:lineRule="exact"/>
        <w:rPr>
          <w:rFonts w:ascii="Times New Roman" w:cs="Times New Roman" w:eastAsia="Times New Roman" w:hAnsi="Times New Roman"/>
          <w:sz w:val="18"/>
          <w:szCs w:val="18"/>
          <w:color w:val="auto"/>
        </w:rPr>
      </w:pPr>
    </w:p>
    <w:p>
      <w:pPr>
        <w:ind w:left="940" w:right="300" w:hanging="288"/>
        <w:spacing w:after="0" w:line="265"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 requirements;</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41" w:name="page42"/>
    <w:bookmarkEnd w:id="41"/>
    <w:p>
      <w:pPr>
        <w:ind w:left="940" w:right="20" w:hanging="288"/>
        <w:spacing w:after="0" w:line="265"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our product candidates and any future product candidates, if approved;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enforce intellectual property rights in and to our product candidates or any future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third-party payors for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obtaining regulatory approvals or commercializing our product candidates. Successful completion of preclinical studies and clinical trials does not mean that any of our current or future product candidates will receive regulatory approval. Even if regulatory approvals are obtained, we could experience significant delays or an inability to successfully commercialize our current and any future product candidates, which would materially harm our business.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90" w:lineRule="exact"/>
        <w:rPr>
          <w:sz w:val="20"/>
          <w:szCs w:val="20"/>
          <w:color w:val="auto"/>
        </w:rPr>
      </w:pPr>
    </w:p>
    <w:p>
      <w:pPr>
        <w:jc w:val="both"/>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66"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86"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As of December 31, 2022, we had $243.5 million in cash, cash equivalents, and marketable securities. Although we believe that our available cash and cash equivalents will be sufficient to fund our planned operations at least through 2024,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940" w:right="40" w:hanging="288"/>
        <w:spacing w:after="0" w:line="281"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product candidates or any future product candidates we choose to pursue, and conducting preclinical studies and clinical trials, including our clinical trials of PC14586;</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 or any future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any additional product candidates we develop or acquire;</w:t>
      </w:r>
    </w:p>
    <w:p>
      <w:pPr>
        <w:spacing w:after="0" w:line="116" w:lineRule="exact"/>
        <w:rPr>
          <w:rFonts w:ascii="Times New Roman" w:cs="Times New Roman" w:eastAsia="Times New Roman" w:hAnsi="Times New Roman"/>
          <w:sz w:val="18"/>
          <w:szCs w:val="18"/>
          <w:color w:val="auto"/>
        </w:rPr>
      </w:pPr>
    </w:p>
    <w:p>
      <w:pPr>
        <w:ind w:left="940" w:right="20" w:hanging="288"/>
        <w:spacing w:after="0" w:line="281"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and/or other payments we are required to make pursuant to any future license or collaboration agreements;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or any future product candidates and any products we successfully commercialize;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building a sales force in anticipation of product commercialization;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of our product candidates, if approved for sale, including marketing, sales and distribution costs;</w:t>
      </w:r>
    </w:p>
    <w:p>
      <w:pPr>
        <w:spacing w:after="0" w:line="116" w:lineRule="exact"/>
        <w:rPr>
          <w:rFonts w:ascii="Times New Roman" w:cs="Times New Roman" w:eastAsia="Times New Roman" w:hAnsi="Times New Roman"/>
          <w:sz w:val="18"/>
          <w:szCs w:val="18"/>
          <w:color w:val="auto"/>
        </w:rPr>
      </w:pPr>
    </w:p>
    <w:p>
      <w:pPr>
        <w:ind w:left="940" w:right="320" w:hanging="288"/>
        <w:spacing w:after="0" w:line="281"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our intellectual property portfolio;</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any future approved products;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which may exacerbate the magnitude of the factors discussed above.</w:t>
      </w:r>
    </w:p>
    <w:p>
      <w:pPr>
        <w:spacing w:after="0" w:line="225" w:lineRule="exact"/>
        <w:rPr>
          <w:sz w:val="20"/>
          <w:szCs w:val="20"/>
          <w:color w:val="auto"/>
        </w:rPr>
      </w:pPr>
    </w:p>
    <w:p>
      <w:pPr>
        <w:ind w:firstLine="644"/>
        <w:spacing w:after="0" w:line="262" w:lineRule="auto"/>
        <w:rPr>
          <w:sz w:val="20"/>
          <w:szCs w:val="20"/>
          <w:color w:val="auto"/>
        </w:rPr>
      </w:pPr>
      <w:r>
        <w:rPr>
          <w:rFonts w:ascii="Times New Roman" w:cs="Times New Roman" w:eastAsia="Times New Roman" w:hAnsi="Times New Roman"/>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inflation expectations, rising interest rates and the recent disruptions to and volatility in the credit and financial markets in the United States and worldwide resulting from the ongoing COVID-19 pandemic and geopolitical tensions, such as the Ukraine-Russia war.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discovery and product development is focused on the development of precision medicines for patients with genetically defined cancers, which is a rapidly evolving area of science, and the approach we are taking to discover and develop drugs targeting p53 is novel, may never lead to marketable products and may not ultimately represent a significant market.</w:t>
      </w:r>
    </w:p>
    <w:p>
      <w:pPr>
        <w:spacing w:after="0" w:line="66" w:lineRule="exact"/>
        <w:rPr>
          <w:sz w:val="20"/>
          <w:szCs w:val="20"/>
          <w:color w:val="auto"/>
        </w:rPr>
      </w:pPr>
    </w:p>
    <w:p>
      <w:pPr>
        <w:ind w:right="240" w:firstLine="644"/>
        <w:spacing w:after="0" w:line="256" w:lineRule="auto"/>
        <w:rPr>
          <w:sz w:val="20"/>
          <w:szCs w:val="20"/>
          <w:color w:val="auto"/>
        </w:rPr>
      </w:pPr>
      <w:r>
        <w:rPr>
          <w:rFonts w:ascii="Times New Roman" w:cs="Times New Roman" w:eastAsia="Times New Roman" w:hAnsi="Times New Roman"/>
          <w:sz w:val="18"/>
          <w:szCs w:val="18"/>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186"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Further, even if our approach is successful in showing clinical benefit for tumors harboring the p53 mutation targeted by our lead product candidate, PC14586, we may never successfully identify additional product candidates for targeting p53 through our platform. Therefore, we do not know if our approach of treating patients with genetically defined cancers will be successful, and if our approach is unsuccessful, our business will be materially adversely affected.</w:t>
      </w:r>
    </w:p>
    <w:p>
      <w:pPr>
        <w:spacing w:after="0" w:line="182"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In addition, because our approach targets genetically defined cancer patients and not specific tumors based on tumor or cancer types, we are initially pursuing a tumor-agnostic development strategy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Phase 1/2 trial for PC14586 does not support a tumor-agnostic indication, but we observe clinical benefit in certain tumor or cancer types, we may decide to pursue a tumor- or cancer-specific indication which may require additional clinical trials. Further, even if our Phase 1/2 trial for PC14586 is successful, the FDA may not agree that such study can serve as a pivotal study, which would require us to conduct additional clinical trials prior to approval.</w:t>
      </w:r>
    </w:p>
    <w:p>
      <w:pPr>
        <w:spacing w:after="0" w:line="29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7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are very early in our development efforts. We announced preliminary results for our Phase 1/2 clinical trial of our lead product candidate, PC14586, in June 2022. All of our other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81" w:lineRule="exact"/>
        <w:rPr>
          <w:sz w:val="20"/>
          <w:szCs w:val="20"/>
          <w:color w:val="auto"/>
        </w:rPr>
      </w:pPr>
    </w:p>
    <w:p>
      <w:pPr>
        <w:ind w:left="940" w:right="300" w:hanging="288"/>
        <w:spacing w:after="0" w:line="288" w:lineRule="auto"/>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our business operations and product candidate research and development, and adapt to any changes in the regulatory approval process, manufacturing supply or clinical trial requirements and timing due to the ongoing COVID-19 pandemic and otherwise, including complying with new regulatory guidance or requirements on conducting clinical trials during the COVID-19 pandemic;</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and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authorization to proceed under INDs for our planned clinical trials or future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of our tumor-agnostic development strategy;</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 which may be impacted by the COVID-19 pandemic;</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with third party collaborators of companion diagnostics for use with our product candidates;</w:t>
      </w:r>
    </w:p>
    <w:p>
      <w:pPr>
        <w:spacing w:after="0" w:line="116" w:lineRule="exact"/>
        <w:rPr>
          <w:rFonts w:ascii="Times New Roman" w:cs="Times New Roman" w:eastAsia="Times New Roman" w:hAnsi="Times New Roman"/>
          <w:sz w:val="18"/>
          <w:szCs w:val="18"/>
          <w:color w:val="auto"/>
        </w:rPr>
      </w:pPr>
    </w:p>
    <w:p>
      <w:pPr>
        <w:ind w:left="940" w:right="460" w:hanging="288"/>
        <w:spacing w:after="0" w:line="281"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for our product candidates that are satisfactory to the FDA or any foreign regulatory authority for marketing approval;</w:t>
      </w:r>
    </w:p>
    <w:p>
      <w:pPr>
        <w:spacing w:after="0" w:line="54" w:lineRule="exact"/>
        <w:rPr>
          <w:rFonts w:ascii="Times New Roman" w:cs="Times New Roman" w:eastAsia="Times New Roman" w:hAnsi="Times New Roman"/>
          <w:sz w:val="18"/>
          <w:szCs w:val="18"/>
          <w:color w:val="auto"/>
        </w:rPr>
      </w:pPr>
    </w:p>
    <w:p>
      <w:pPr>
        <w:ind w:left="940" w:right="180" w:hanging="288"/>
        <w:spacing w:after="0" w:line="281"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for our product candidates and any companion diagnostics from applicable regulatory authorities, which must be approved contemporaneously;</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required post-marketing approval commitments to applicable regulatory authorities;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6" w:lineRule="exact"/>
        <w:rPr>
          <w:rFonts w:ascii="Times New Roman" w:cs="Times New Roman" w:eastAsia="Times New Roman" w:hAnsi="Times New Roman"/>
          <w:sz w:val="18"/>
          <w:szCs w:val="18"/>
          <w:color w:val="auto"/>
        </w:rPr>
      </w:pPr>
    </w:p>
    <w:p>
      <w:pPr>
        <w:ind w:left="940" w:right="140" w:hanging="288"/>
        <w:spacing w:after="0" w:line="281"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4" w:lineRule="exact"/>
        <w:rPr>
          <w:rFonts w:ascii="Times New Roman" w:cs="Times New Roman" w:eastAsia="Times New Roman" w:hAnsi="Times New Roman"/>
          <w:sz w:val="18"/>
          <w:szCs w:val="18"/>
          <w:color w:val="auto"/>
        </w:rPr>
      </w:pPr>
    </w:p>
    <w:p>
      <w:pPr>
        <w:ind w:left="940" w:right="380" w:hanging="288"/>
        <w:spacing w:after="0" w:line="281"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cancer therapies;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w:t>
      </w:r>
    </w:p>
    <w:p>
      <w:pPr>
        <w:spacing w:after="0" w:line="225"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82"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have not previously submitted a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50"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The patient populations for our current product candidates are limited to those with specific p53 mutations, which represents a substantially smaller subset of the generally treated cancer patient 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8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66"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are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its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94" w:lineRule="exact"/>
        <w:rPr>
          <w:sz w:val="20"/>
          <w:szCs w:val="20"/>
          <w:color w:val="auto"/>
        </w:rPr>
      </w:pPr>
    </w:p>
    <w:p>
      <w:pPr>
        <w:ind w:right="600" w:firstLine="644"/>
        <w:spacing w:after="0" w:line="281"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efficacy and safety sufficient to obtain approval to market any of our product candidates.</w:t>
      </w:r>
    </w:p>
    <w:p>
      <w:pPr>
        <w:spacing w:after="0" w:line="163"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Even if we succeed in developing and commercializing our product candidates, we may never generate sufficient or sustainable revenue to enable us to be profitable.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71" w:lineRule="exact"/>
        <w:rPr>
          <w:sz w:val="20"/>
          <w:szCs w:val="20"/>
          <w:color w:val="auto"/>
        </w:rPr>
      </w:pPr>
    </w:p>
    <w:p>
      <w:pPr>
        <w:jc w:val="both"/>
        <w:ind w:right="20" w:firstLine="644"/>
        <w:spacing w:after="0" w:line="260" w:lineRule="auto"/>
        <w:rPr>
          <w:sz w:val="20"/>
          <w:szCs w:val="20"/>
          <w:color w:val="auto"/>
        </w:rPr>
      </w:pPr>
      <w:r>
        <w:rPr>
          <w:rFonts w:ascii="Times New Roman" w:cs="Times New Roman" w:eastAsia="Times New Roman" w:hAnsi="Times New Roman"/>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182" w:lineRule="exact"/>
        <w:rPr>
          <w:sz w:val="20"/>
          <w:szCs w:val="20"/>
          <w:color w:val="auto"/>
        </w:rPr>
      </w:pPr>
    </w:p>
    <w:p>
      <w:pPr>
        <w:ind w:right="300" w:firstLine="644"/>
        <w:spacing w:after="0" w:line="260" w:lineRule="auto"/>
        <w:rPr>
          <w:sz w:val="20"/>
          <w:szCs w:val="20"/>
          <w:color w:val="auto"/>
        </w:rPr>
      </w:pPr>
      <w:r>
        <w:rPr>
          <w:rFonts w:ascii="Times New Roman" w:cs="Times New Roman" w:eastAsia="Times New Roman" w:hAnsi="Times New Roman"/>
          <w:sz w:val="18"/>
          <w:szCs w:val="18"/>
          <w:color w:val="auto"/>
        </w:rPr>
        <w:t>Such companion diagnostics would be used during our clinical trials as well as in connection with the commercialization of our product candidates. In our Phase 1/2 clinical trial, we are working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8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86" w:lineRule="exact"/>
        <w:rPr>
          <w:sz w:val="20"/>
          <w:szCs w:val="20"/>
          <w:color w:val="auto"/>
        </w:rPr>
      </w:pPr>
    </w:p>
    <w:p>
      <w:pPr>
        <w:ind w:right="220" w:firstLine="644"/>
        <w:spacing w:after="0" w:line="265" w:lineRule="auto"/>
        <w:rPr>
          <w:sz w:val="20"/>
          <w:szCs w:val="20"/>
          <w:color w:val="auto"/>
        </w:rPr>
      </w:pPr>
      <w:r>
        <w:rPr>
          <w:rFonts w:ascii="Times New Roman" w:cs="Times New Roman" w:eastAsia="Times New Roman" w:hAnsi="Times New Roman"/>
          <w:sz w:val="18"/>
          <w:szCs w:val="18"/>
          <w:color w:val="auto"/>
        </w:rPr>
        <w:t>Companion diagnostics are subject to regulation by the FDA and comparable foreign regulatory authorities outside the United States as medical devices and require separate regulatory approval or clearance prior to commercialization. Moreover, the FDA generally requires the contemporaneous approval of companion diagnostics and the associated therapeutic.</w:t>
      </w:r>
    </w:p>
    <w:p>
      <w:pPr>
        <w:spacing w:after="0" w:line="177"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74" w:lineRule="exact"/>
        <w:rPr>
          <w:sz w:val="20"/>
          <w:szCs w:val="20"/>
          <w:color w:val="auto"/>
        </w:rPr>
      </w:pPr>
    </w:p>
    <w:p>
      <w:pPr>
        <w:ind w:left="940" w:right="880" w:hanging="288"/>
        <w:spacing w:after="0" w:line="281"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4" w:lineRule="exact"/>
        <w:rPr>
          <w:rFonts w:ascii="Times New Roman" w:cs="Times New Roman" w:eastAsia="Times New Roman" w:hAnsi="Times New Roman"/>
          <w:sz w:val="18"/>
          <w:szCs w:val="18"/>
          <w:color w:val="auto"/>
        </w:rPr>
      </w:pPr>
    </w:p>
    <w:p>
      <w:pPr>
        <w:ind w:left="940" w:right="60" w:hanging="288"/>
        <w:spacing w:after="0" w:line="281"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approval of our current product candidates and any future product candidates that require companion diagnostics on a timely basis or at all.</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adversely impacted.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7" w:name="page48"/>
    <w:bookmarkEnd w:id="47"/>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could materially adversely impact our business, results of operations and financial condition, including our preclinical studies and clinical trials.</w:t>
      </w:r>
    </w:p>
    <w:p>
      <w:pPr>
        <w:spacing w:after="0" w:line="50"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The pandemic and government measures taken in response have also had a significant impact, both direct and indirect, on businesses and commerce, as worker shortages have occurred; supply chains have been disrupted, especially with respect to goods from China; facilities and production have been suspended; and demand for certain goods and services, such as medical services and supplies, has spiked, while demand for other goods and services, such as travel, has fallen. While the extent of the impact of the COVID-19 pandemic on our business and financial results is uncertain, a continued and prolonged public health crisis such as the COVID-19 pandemic could have a material adverse effect on our business, financial condition and results of operations. As a result of the COVID-19 pandemic, we may experience disruptions that could severely impact our business, preclinical studies and clinical trials, including:</w:t>
      </w:r>
    </w:p>
    <w:p>
      <w:pPr>
        <w:spacing w:after="0" w:line="79" w:lineRule="exact"/>
        <w:rPr>
          <w:sz w:val="20"/>
          <w:szCs w:val="20"/>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4" w:lineRule="exact"/>
        <w:rPr>
          <w:rFonts w:ascii="Times New Roman" w:cs="Times New Roman" w:eastAsia="Times New Roman" w:hAnsi="Times New Roman"/>
          <w:sz w:val="18"/>
          <w:szCs w:val="18"/>
          <w:color w:val="auto"/>
        </w:rPr>
      </w:pPr>
    </w:p>
    <w:p>
      <w:pPr>
        <w:ind w:left="940" w:hanging="288"/>
        <w:spacing w:after="0" w:line="265"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16" w:lineRule="exact"/>
        <w:rPr>
          <w:rFonts w:ascii="Times New Roman" w:cs="Times New Roman" w:eastAsia="Times New Roman" w:hAnsi="Times New Roman"/>
          <w:sz w:val="18"/>
          <w:szCs w:val="18"/>
          <w:color w:val="auto"/>
        </w:rPr>
      </w:pPr>
    </w:p>
    <w:p>
      <w:pPr>
        <w:ind w:left="940" w:right="560" w:hanging="288"/>
        <w:spacing w:after="0" w:line="281"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16" w:lineRule="exact"/>
        <w:rPr>
          <w:rFonts w:ascii="Times New Roman" w:cs="Times New Roman" w:eastAsia="Times New Roman" w:hAnsi="Times New Roman"/>
          <w:sz w:val="18"/>
          <w:szCs w:val="18"/>
          <w:color w:val="auto"/>
        </w:rPr>
      </w:pPr>
    </w:p>
    <w:p>
      <w:pPr>
        <w:ind w:left="940" w:right="480" w:hanging="288"/>
        <w:spacing w:after="0" w:line="281"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site procedures and requirements as well as regulatory requirements for conducting clinical trials during the pandemic.</w:t>
      </w:r>
    </w:p>
    <w:p>
      <w:pPr>
        <w:spacing w:after="0" w:line="22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we continue to monitor changes in FDA policies and work with our clinical sites and investigators to mitigate potential risks to our ongoing clinical trials. The FDA, along with other global health authorities, has issued various guidance on COVID-19 related matters, including, among others, guidance for conducting clinical trials during the pandemic, manufacturing, supply chain, and drug and biological product inspections during the COVID-19 public health emergency; and GMP considerations for responding to COVID-19 infection in employees in biopharmaceutical manufacturing. If new guidance and policies are promulgated by the FDA that require changes in our clinical protocol or clinical development plans, our anticipated timelines and regulatory approval may be delayed or materially impacted. The extent to which the COVID-19 pandemic impacts our business, preclinical studies and clinical trials will depend on future developments, which are highly uncertain and cannot be predicted with confidence.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8" w:name="page49"/>
    <w:bookmarkEnd w:id="48"/>
    <w:p>
      <w:pPr>
        <w:ind w:firstLine="644"/>
        <w:spacing w:after="0" w:line="260" w:lineRule="auto"/>
        <w:rPr>
          <w:sz w:val="20"/>
          <w:szCs w:val="20"/>
          <w:color w:val="auto"/>
        </w:rPr>
      </w:pPr>
      <w:r>
        <w:rPr>
          <w:rFonts w:ascii="Times New Roman" w:cs="Times New Roman" w:eastAsia="Times New Roman" w:hAnsi="Times New Roman"/>
          <w:sz w:val="18"/>
          <w:szCs w:val="18"/>
          <w:color w:val="auto"/>
        </w:rPr>
        <w:t>The COVID-19 pandemic continues to evolve, with the status of operations and government restrictions evolving monthly. The extent to which the outbreak impacts our business, preclinical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8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trading prices for shares of other biopharmaceutical companies have been highly volatile partially as a result of the COVID-19 pandemic and the trading prices for shares of our common stock could also experience high volatility. In addition, broader markets have experienced significantly increased volatility due to, among other things, increases in inflation expectations, the corresponding increases in interest rate expectations and the Ukraine-Russia war. As a result, we may face difficulties raising capital through sales of our common stock or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86"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8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50"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82"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PC14586 clinical trials and our regulatory submissions, and increase the costs associated of the clinical trials.</w:t>
      </w:r>
    </w:p>
    <w:p>
      <w:pPr>
        <w:spacing w:after="0" w:line="186" w:lineRule="exact"/>
        <w:rPr>
          <w:sz w:val="20"/>
          <w:szCs w:val="20"/>
          <w:color w:val="auto"/>
        </w:rPr>
      </w:pPr>
    </w:p>
    <w:p>
      <w:pPr>
        <w:ind w:right="100" w:firstLine="644"/>
        <w:spacing w:after="0" w:line="265" w:lineRule="auto"/>
        <w:rPr>
          <w:sz w:val="20"/>
          <w:szCs w:val="20"/>
          <w:color w:val="auto"/>
        </w:rPr>
      </w:pPr>
      <w:r>
        <w:rPr>
          <w:rFonts w:ascii="Times New Roman" w:cs="Times New Roman" w:eastAsia="Times New Roman" w:hAnsi="Times New Roman"/>
          <w:sz w:val="18"/>
          <w:szCs w:val="18"/>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9" w:lineRule="exact"/>
        <w:rPr>
          <w:sz w:val="20"/>
          <w:szCs w:val="20"/>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jc w:val="both"/>
        <w:ind w:left="940" w:right="660" w:hanging="288"/>
        <w:spacing w:after="0" w:line="265"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biomarkers to indicate which patients may be eligible for enrollment in our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patients in our clinical trials due to the COVID-19 pandemic;</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16" w:lineRule="exact"/>
        <w:rPr>
          <w:rFonts w:ascii="Times New Roman" w:cs="Times New Roman" w:eastAsia="Times New Roman" w:hAnsi="Times New Roman"/>
          <w:sz w:val="18"/>
          <w:szCs w:val="18"/>
          <w:color w:val="auto"/>
        </w:rPr>
      </w:pPr>
    </w:p>
    <w:p>
      <w:pPr>
        <w:jc w:val="both"/>
        <w:ind w:left="940" w:right="160" w:hanging="288"/>
        <w:spacing w:after="0" w:line="265"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including as a result of contracting COVID-19 or other health conditions or being forced to quarantine, or, because they may be late-stage cancer patients, will not survive the full terms of the clinical trials.</w:t>
      </w:r>
    </w:p>
    <w:p>
      <w:pPr>
        <w:spacing w:after="0" w:line="177"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5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0" w:name="page51"/>
    <w:bookmarkEnd w:id="50"/>
    <w:p>
      <w:pPr>
        <w:ind w:firstLine="644"/>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 directly or indirectly. A variety of risks associated with marketing our product candidates, if approved, internationally may materially adversely affect our business.</w:t>
      </w:r>
    </w:p>
    <w:p>
      <w:pPr>
        <w:spacing w:after="0" w:line="50"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Our business is subject to risks associated with business operations we conduct internationally, as well as indirect impacts from our relationships with collaborators, partners, or contractors who conduct business internationally. To the extent we seek regulatory approval of any of our product candidates outside of the United States, we expect that we will be subject to additional risks related to our operations in foreign countries. Accordingly, our future results could be harmed directly or indirectly by a variety of factors, including:</w:t>
      </w:r>
    </w:p>
    <w:p>
      <w:pPr>
        <w:spacing w:after="0" w:line="74" w:lineRule="exact"/>
        <w:rPr>
          <w:sz w:val="20"/>
          <w:szCs w:val="20"/>
          <w:color w:val="auto"/>
        </w:rPr>
      </w:pPr>
    </w:p>
    <w:p>
      <w:pPr>
        <w:ind w:left="940" w:right="460" w:hanging="288"/>
        <w:spacing w:after="0" w:line="281" w:lineRule="auto"/>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changes in existing regulatory requirements, or implementation of new regulatory requirements or policies that impact our clinical development and business operations in foreign countries;</w:t>
      </w:r>
    </w:p>
    <w:p>
      <w:pPr>
        <w:spacing w:after="0" w:line="54" w:lineRule="exact"/>
        <w:rPr>
          <w:rFonts w:ascii="Times New Roman" w:cs="Times New Roman" w:eastAsia="Times New Roman" w:hAnsi="Times New Roman"/>
          <w:sz w:val="18"/>
          <w:szCs w:val="18"/>
          <w:color w:val="auto"/>
        </w:rPr>
      </w:pPr>
    </w:p>
    <w:p>
      <w:pPr>
        <w:ind w:left="940" w:right="200" w:hanging="288"/>
        <w:spacing w:after="0" w:line="281" w:lineRule="auto"/>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authorities may disagree with the design, implementation or results of our clinical trials or our interpretation of data from preclinical studies or clinical trials;</w:t>
      </w:r>
    </w:p>
    <w:p>
      <w:pPr>
        <w:spacing w:after="0" w:line="54"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foreign regulatory authorities may significantly change in a manner rendering our clinical data insufficient for approval;</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 on our ability to produce our product candidates and conduct clinical trials in foreign countries;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940" w:right="440" w:hanging="288"/>
        <w:spacing w:after="0" w:line="281" w:lineRule="auto"/>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obligations incident to doing business in another country;</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6" w:lineRule="exact"/>
        <w:rPr>
          <w:rFonts w:ascii="Times New Roman" w:cs="Times New Roman" w:eastAsia="Times New Roman" w:hAnsi="Times New Roman"/>
          <w:sz w:val="18"/>
          <w:szCs w:val="18"/>
          <w:color w:val="auto"/>
        </w:rPr>
      </w:pPr>
    </w:p>
    <w:p>
      <w:pPr>
        <w:ind w:left="940" w:right="480" w:hanging="288"/>
        <w:spacing w:after="0" w:line="281" w:lineRule="auto"/>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1" w:name="page52"/>
    <w:bookmarkEnd w:id="51"/>
    <w:p>
      <w:pPr>
        <w:ind w:left="940" w:right="20" w:hanging="288"/>
        <w:spacing w:after="0" w:line="258"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 production or supply shortages resulting directly or indirectly from any events affecting raw material supply or manufacturing capabilities abroad, including, but not limited to, impacts due to the ongoing Ukraine-Russia war, addition of certain suppliers or companies to the Unverified List under the Export Administration Regulations, implementation of other export controls, restrictions or sanctions that can impact the supply chain, our business, or business operations of our suppliers, contractors or partners;</w:t>
      </w:r>
    </w:p>
    <w:p>
      <w:pPr>
        <w:spacing w:after="0" w:line="74" w:lineRule="exact"/>
        <w:rPr>
          <w:rFonts w:ascii="Times New Roman" w:cs="Times New Roman" w:eastAsia="Times New Roman" w:hAnsi="Times New Roman"/>
          <w:sz w:val="18"/>
          <w:szCs w:val="18"/>
          <w:color w:val="auto"/>
        </w:rPr>
      </w:pPr>
    </w:p>
    <w:p>
      <w:pPr>
        <w:ind w:left="940" w:right="80" w:hanging="288"/>
        <w:spacing w:after="0" w:line="265"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directly or indirectly from geo-political actions, including the ongoing Ukraine-Russian war, other regional or geo-political conflicts, and terrorism; and supply and other disruptions resulting from the impact of public health epidemics, including the COVID-19 pandemic, on our strategic partners, third-party manufacturers, suppliers and other third parties upon which we rely.</w:t>
      </w:r>
    </w:p>
    <w:p>
      <w:pPr>
        <w:spacing w:after="0" w:line="177" w:lineRule="exact"/>
        <w:rPr>
          <w:sz w:val="20"/>
          <w:szCs w:val="20"/>
          <w:color w:val="auto"/>
        </w:rPr>
      </w:pPr>
    </w:p>
    <w:p>
      <w:pPr>
        <w:ind w:right="380" w:firstLine="644"/>
        <w:spacing w:after="0" w:line="281"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business, financial condition, and results of operations.</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0" w:lineRule="exact"/>
        <w:rPr>
          <w:sz w:val="20"/>
          <w:szCs w:val="20"/>
          <w:color w:val="auto"/>
        </w:rPr>
      </w:pPr>
    </w:p>
    <w:p>
      <w:pPr>
        <w:ind w:right="200" w:firstLine="64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6"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In particular, we are aware of molecules in development that also are being explored for p53 upregulation/activation in various stages of preclinical or clinical development being tested by Aprea Therapeutics and Jacobio Pharmaceuticals,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(out-licensed worldwide rights to Rain Therapeutics), Kartos Therapeutics, Kymera Therapeutics, Otsuka Pharmaceutical, Novartis and Roche, including testing MDM2 inhibitors in combination with a variety of other anti-cancer agents.</w:t>
      </w:r>
    </w:p>
    <w:p>
      <w:pPr>
        <w:spacing w:after="0" w:line="186" w:lineRule="exact"/>
        <w:rPr>
          <w:sz w:val="20"/>
          <w:szCs w:val="20"/>
          <w:color w:val="auto"/>
        </w:rPr>
      </w:pPr>
    </w:p>
    <w:p>
      <w:pPr>
        <w:ind w:right="340" w:firstLine="644"/>
        <w:spacing w:after="0" w:line="260"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82"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2"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2" w:name="page53"/>
    <w:bookmarkEnd w:id="52"/>
    <w:p>
      <w:pPr>
        <w:ind w:firstLine="644"/>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91" w:lineRule="exact"/>
        <w:rPr>
          <w:sz w:val="20"/>
          <w:szCs w:val="20"/>
          <w:color w:val="auto"/>
        </w:rPr>
      </w:pPr>
    </w:p>
    <w:p>
      <w:pPr>
        <w:ind w:right="100" w:firstLine="644"/>
        <w:spacing w:after="0" w:line="265" w:lineRule="auto"/>
        <w:rPr>
          <w:sz w:val="20"/>
          <w:szCs w:val="20"/>
          <w:color w:val="auto"/>
        </w:rPr>
      </w:pPr>
      <w:r>
        <w:rPr>
          <w:rFonts w:ascii="Times New Roman" w:cs="Times New Roman" w:eastAsia="Times New Roman" w:hAnsi="Times New Roman"/>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w:t>
      </w:r>
    </w:p>
    <w:p>
      <w:pPr>
        <w:spacing w:after="0" w:line="281"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50" w:lineRule="exact"/>
        <w:rPr>
          <w:sz w:val="20"/>
          <w:szCs w:val="20"/>
          <w:color w:val="auto"/>
        </w:rPr>
      </w:pPr>
    </w:p>
    <w:p>
      <w:pPr>
        <w:ind w:right="460" w:firstLine="644"/>
        <w:spacing w:after="0" w:line="276" w:lineRule="auto"/>
        <w:rPr>
          <w:sz w:val="20"/>
          <w:szCs w:val="20"/>
          <w:color w:val="auto"/>
        </w:rPr>
      </w:pPr>
      <w:r>
        <w:rPr>
          <w:rFonts w:ascii="Times New Roman" w:cs="Times New Roman" w:eastAsia="Times New Roman" w:hAnsi="Times New Roman"/>
          <w:sz w:val="17"/>
          <w:szCs w:val="17"/>
          <w:color w:val="auto"/>
        </w:rPr>
        <w:t>Our future operating results are dependent on our ability to successfully discover, develop, obtain regulatory approval for and commercialize product candidates beyond our lead product candidate, PC14586, and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70"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5" w:lineRule="exact"/>
        <w:rPr>
          <w:sz w:val="20"/>
          <w:szCs w:val="20"/>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w:t>
      </w:r>
    </w:p>
    <w:p>
      <w:pPr>
        <w:spacing w:after="0" w:line="225" w:lineRule="exact"/>
        <w:rPr>
          <w:sz w:val="20"/>
          <w:szCs w:val="20"/>
          <w:color w:val="auto"/>
        </w:rPr>
      </w:pPr>
    </w:p>
    <w:p>
      <w:pPr>
        <w:ind w:right="40" w:firstLine="644"/>
        <w:spacing w:after="0" w:line="312"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39" w:lineRule="exact"/>
        <w:rPr>
          <w:sz w:val="20"/>
          <w:szCs w:val="20"/>
          <w:color w:val="auto"/>
        </w:rPr>
      </w:pPr>
    </w:p>
    <w:p>
      <w:pPr>
        <w:jc w:val="both"/>
        <w:ind w:right="620" w:firstLine="644"/>
        <w:spacing w:after="0" w:line="265" w:lineRule="auto"/>
        <w:rPr>
          <w:sz w:val="20"/>
          <w:szCs w:val="20"/>
          <w:color w:val="auto"/>
        </w:rPr>
      </w:pPr>
      <w:r>
        <w:rPr>
          <w:rFonts w:ascii="Times New Roman" w:cs="Times New Roman" w:eastAsia="Times New Roman" w:hAnsi="Times New Roman"/>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6"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86"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While our lead product candidate, PC14586, is still in early clinical development and although it has been generally well-tolerated per our preliminary data release, as is the case with all oncology drugs, it is likely that there may be significant side effects associated with its use. PC14586 or future product candidates may be used in populations for which safety concerns may be reviewed by regulatory agencies. In addition, we recently opened a separate arm within the existing Phase 1/2 clinical trial to evaluate the combination of PC14586 with Merck’s anti-PD1 therapy, KEYTRUDA, and we may study PC14586 in combination with other additional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86"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4" w:name="page55"/>
    <w:bookmarkEnd w:id="5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developing PC14586 in a combination study, and expect to develop our current or future product candidates in combination with other therapies, which exposes us to additional risks.</w:t>
      </w:r>
    </w:p>
    <w:p>
      <w:pPr>
        <w:spacing w:after="0" w:line="50"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recently opened a separate arm within the existing Phase 1/2 clinical trial to evaluate the combination of PC14586 with Merck’s anti-PD1 therapy, KEYTRUDA, in patients with advanced solid tumors harboring a p53 Y220C mutation. We also intend to develop our current or future product candidates in combination with one or more other approved cancer therapies or therapies in development. Patients may not be able to tolerate PC14586 or any of our future product candidates in combination with other 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91" w:lineRule="exact"/>
        <w:rPr>
          <w:sz w:val="20"/>
          <w:szCs w:val="20"/>
          <w:color w:val="auto"/>
        </w:rPr>
      </w:pPr>
    </w:p>
    <w:p>
      <w:pPr>
        <w:ind w:right="460" w:firstLine="644"/>
        <w:spacing w:after="0" w:line="265" w:lineRule="auto"/>
        <w:rPr>
          <w:sz w:val="20"/>
          <w:szCs w:val="20"/>
          <w:color w:val="auto"/>
        </w:rPr>
      </w:pPr>
      <w:r>
        <w:rPr>
          <w:rFonts w:ascii="Times New Roman" w:cs="Times New Roman" w:eastAsia="Times New Roman" w:hAnsi="Times New Roman"/>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77"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0"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7"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ind w:firstLine="644"/>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50" w:lineRule="exact"/>
        <w:rPr>
          <w:sz w:val="20"/>
          <w:szCs w:val="20"/>
          <w:color w:val="auto"/>
        </w:rPr>
      </w:pPr>
    </w:p>
    <w:p>
      <w:pPr>
        <w:ind w:right="500" w:firstLine="644"/>
        <w:spacing w:after="0" w:line="265" w:lineRule="auto"/>
        <w:rPr>
          <w:sz w:val="20"/>
          <w:szCs w:val="20"/>
          <w:color w:val="auto"/>
        </w:rPr>
      </w:pPr>
      <w:r>
        <w:rPr>
          <w:rFonts w:ascii="Times New Roman" w:cs="Times New Roman" w:eastAsia="Times New Roman" w:hAnsi="Times New Roman"/>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69" w:lineRule="exact"/>
        <w:rPr>
          <w:sz w:val="20"/>
          <w:szCs w:val="20"/>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our product candidates as a safe and effective treatment;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advantages of our product candidates over other cancer medicines;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precision medicines and public perception of other precision medicines;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reimbursement and pricing by third-party payors and government authorities;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and government authorities;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If our product candidates receive regulatory approval but fail to achieve market acceptance among physicians, patients, hospitals, cancer treatment centers or others in the medical community, we will not be able to generate significant revenue.</w:t>
      </w:r>
    </w:p>
    <w:p>
      <w:pPr>
        <w:spacing w:after="0" w:line="163"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and a decrease in demand for any such product candidates.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6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7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9"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86" w:lineRule="exact"/>
        <w:rPr>
          <w:sz w:val="20"/>
          <w:szCs w:val="20"/>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7" w:name="page58"/>
    <w:bookmarkEnd w:id="57"/>
    <w:p>
      <w:pPr>
        <w:ind w:firstLine="644"/>
        <w:spacing w:after="0" w:line="255"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7"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190"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82" w:lineRule="exact"/>
        <w:rPr>
          <w:sz w:val="20"/>
          <w:szCs w:val="20"/>
          <w:color w:val="auto"/>
        </w:rPr>
      </w:pPr>
    </w:p>
    <w:p>
      <w:pPr>
        <w:ind w:right="80" w:firstLine="644"/>
        <w:spacing w:after="0" w:line="271" w:lineRule="auto"/>
        <w:rPr>
          <w:sz w:val="20"/>
          <w:szCs w:val="20"/>
          <w:color w:val="auto"/>
        </w:rPr>
      </w:pPr>
      <w:r>
        <w:rPr>
          <w:rFonts w:ascii="Times New Roman" w:cs="Times New Roman" w:eastAsia="Times New Roman" w:hAnsi="Times New Roman"/>
          <w:sz w:val="17"/>
          <w:szCs w:val="17"/>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8" w:name="page59"/>
    <w:bookmarkEnd w:id="58"/>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0"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9" w:lineRule="exact"/>
        <w:rPr>
          <w:sz w:val="20"/>
          <w:szCs w:val="20"/>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9" w:name="page60"/>
    <w:bookmarkEnd w:id="59"/>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90"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6" w:lineRule="exact"/>
        <w:rPr>
          <w:sz w:val="20"/>
          <w:szCs w:val="20"/>
          <w:color w:val="auto"/>
        </w:rPr>
      </w:pPr>
    </w:p>
    <w:p>
      <w:pPr>
        <w:jc w:val="both"/>
        <w:ind w:right="40" w:firstLine="644"/>
        <w:spacing w:after="0" w:line="265"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77"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7" w:lineRule="exact"/>
        <w:rPr>
          <w:sz w:val="20"/>
          <w:szCs w:val="20"/>
          <w:color w:val="auto"/>
        </w:rPr>
      </w:pPr>
    </w:p>
    <w:p>
      <w:pPr>
        <w:ind w:right="260" w:firstLine="644"/>
        <w:spacing w:after="0" w:line="281"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Regulatory Process and Other Legal Compliance Matters</w:t>
      </w:r>
    </w:p>
    <w:p>
      <w:pPr>
        <w:spacing w:after="0" w:line="225"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48"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182"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7" w:lineRule="exact"/>
        <w:rPr>
          <w:sz w:val="20"/>
          <w:szCs w:val="20"/>
          <w:color w:val="auto"/>
        </w:rPr>
      </w:pPr>
    </w:p>
    <w:p>
      <w:pPr>
        <w:ind w:right="260" w:firstLine="644"/>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issued various COVID-19 related guidance documents for trial sponsors and manufacturers, including guidance on conducting clinical trials during the pandemic, among others. Recently, President Biden announced that the administration intends to end the COVID-19 national and public health emergencies on May 11, 2023. The full impact of the termination of the public health emergencies on FDA and other regulatory policies and operations are unclear.</w:t>
      </w:r>
    </w:p>
    <w:p>
      <w:pPr>
        <w:spacing w:after="0" w:line="18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78" w:lineRule="exact"/>
        <w:rPr>
          <w:sz w:val="20"/>
          <w:szCs w:val="20"/>
          <w:color w:val="auto"/>
        </w:rPr>
      </w:pPr>
    </w:p>
    <w:p>
      <w:pPr>
        <w:ind w:left="940" w:right="440" w:hanging="288"/>
        <w:spacing w:after="0" w:line="288"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the design or implementation of our clinical trials, including our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51" w:lineRule="exact"/>
        <w:rPr>
          <w:rFonts w:ascii="Times New Roman" w:cs="Times New Roman" w:eastAsia="Times New Roman" w:hAnsi="Times New Roman"/>
          <w:sz w:val="17"/>
          <w:szCs w:val="17"/>
          <w:color w:val="auto"/>
        </w:rPr>
      </w:pPr>
    </w:p>
    <w:p>
      <w:pPr>
        <w:ind w:left="940" w:hanging="28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tumor-agnostic development strategy;</w:t>
      </w:r>
    </w:p>
    <w:p>
      <w:pPr>
        <w:spacing w:after="0" w:line="116" w:lineRule="exact"/>
        <w:rPr>
          <w:rFonts w:ascii="Times New Roman" w:cs="Times New Roman" w:eastAsia="Times New Roman" w:hAnsi="Times New Roman"/>
          <w:sz w:val="18"/>
          <w:szCs w:val="18"/>
          <w:color w:val="auto"/>
        </w:rPr>
      </w:pPr>
    </w:p>
    <w:p>
      <w:pPr>
        <w:ind w:left="940" w:right="60" w:hanging="288"/>
        <w:spacing w:after="0" w:line="281"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940" w:right="140" w:hanging="288"/>
        <w:spacing w:after="0" w:line="281"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54" w:lineRule="exact"/>
        <w:rPr>
          <w:rFonts w:ascii="Times New Roman" w:cs="Times New Roman" w:eastAsia="Times New Roman" w:hAnsi="Times New Roman"/>
          <w:sz w:val="18"/>
          <w:szCs w:val="18"/>
          <w:color w:val="auto"/>
        </w:rPr>
      </w:pPr>
    </w:p>
    <w:p>
      <w:pPr>
        <w:ind w:left="940" w:right="500" w:hanging="288"/>
        <w:spacing w:after="0" w:line="281"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fail to approve companion diagnostic tests that may be required for our product candidates;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ind w:left="940" w:right="120" w:hanging="288"/>
        <w:spacing w:after="0" w:line="281"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4" w:lineRule="exact"/>
        <w:rPr>
          <w:rFonts w:ascii="Times New Roman" w:cs="Times New Roman" w:eastAsia="Times New Roman" w:hAnsi="Times New Roman"/>
          <w:sz w:val="18"/>
          <w:szCs w:val="18"/>
          <w:color w:val="auto"/>
        </w:rPr>
      </w:pPr>
    </w:p>
    <w:p>
      <w:pPr>
        <w:ind w:left="940" w:right="20" w:hanging="288"/>
        <w:spacing w:after="0" w:line="281"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6" w:lineRule="exact"/>
        <w:rPr>
          <w:rFonts w:ascii="Times New Roman" w:cs="Times New Roman" w:eastAsia="Times New Roman" w:hAnsi="Times New Roman"/>
          <w:sz w:val="18"/>
          <w:szCs w:val="18"/>
          <w:color w:val="auto"/>
        </w:rPr>
      </w:pPr>
    </w:p>
    <w:p>
      <w:pPr>
        <w:ind w:left="940" w:right="40" w:hanging="288"/>
        <w:spacing w:after="0" w:line="281"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4" w:lineRule="exact"/>
        <w:rPr>
          <w:rFonts w:ascii="Times New Roman" w:cs="Times New Roman" w:eastAsia="Times New Roman" w:hAnsi="Times New Roman"/>
          <w:sz w:val="18"/>
          <w:szCs w:val="18"/>
          <w:color w:val="auto"/>
        </w:rPr>
      </w:pPr>
    </w:p>
    <w:p>
      <w:pPr>
        <w:ind w:left="940" w:right="460" w:hanging="288"/>
        <w:spacing w:after="0" w:line="281"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54" w:lineRule="exact"/>
        <w:rPr>
          <w:rFonts w:ascii="Times New Roman" w:cs="Times New Roman" w:eastAsia="Times New Roman" w:hAnsi="Times New Roman"/>
          <w:sz w:val="18"/>
          <w:szCs w:val="18"/>
          <w:color w:val="auto"/>
        </w:rPr>
      </w:pPr>
    </w:p>
    <w:p>
      <w:pPr>
        <w:ind w:left="940" w:right="700" w:hanging="288"/>
        <w:spacing w:after="0" w:line="281"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4" w:lineRule="exact"/>
        <w:rPr>
          <w:rFonts w:ascii="Times New Roman" w:cs="Times New Roman" w:eastAsia="Times New Roman" w:hAnsi="Times New Roman"/>
          <w:sz w:val="18"/>
          <w:szCs w:val="18"/>
          <w:color w:val="auto"/>
        </w:rPr>
      </w:pPr>
    </w:p>
    <w:p>
      <w:pPr>
        <w:ind w:left="940" w:right="200" w:hanging="288"/>
        <w:spacing w:after="0" w:line="281"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3"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7"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28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66"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87"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 xml:space="preserve">Further,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2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or maintain breakthrough therapy or Fast Track designations for our current or future product candidates. Even if we are successful, such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71"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In October 2020, we received Fast Track designation for PC14586 from the FDA. The FDA has broad discretion whether or not to grant this designation, so even if we believe a particular future product candidate is eligible for this designation, we cannot assure you that the FDA would decide to grant it. Further, even though we have received Fast Track designation for PC14586,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6"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 In addition,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4" w:name="page65"/>
    <w:bookmarkEnd w:id="64"/>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8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4"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Our lead product candidate, PC14586, is in early clinical development and all of our other product candidates are in discovery or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clinical trials may not be successful.</w:t>
      </w:r>
    </w:p>
    <w:p>
      <w:pPr>
        <w:spacing w:after="0" w:line="186"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 In addition, the COVID-19 pandemic is still evolving as of this time and much of its impact remains unknown, and it is impossible to predict the impact the COVID-19 pandemic may have on the development of our product candidates, our preclinical studies and clinical trials and our business.</w:t>
      </w:r>
    </w:p>
    <w:p>
      <w:pPr>
        <w:spacing w:after="0" w:line="186"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Additionally, our PC14586 Phase 1/2 clinical trial is, and other clinical trials we conduct in the future may be, open-label in study design and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5" w:name="page66"/>
    <w:bookmarkEnd w:id="65"/>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We may experience delays in obtaining the FDA’s authorization to initiate clinical trials, completing ongoing clinical trials of PC14586 and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4" w:lineRule="exact"/>
        <w:rPr>
          <w:sz w:val="20"/>
          <w:szCs w:val="20"/>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with our tumor-agnostic development strategy;</w:t>
      </w:r>
    </w:p>
    <w:p>
      <w:pPr>
        <w:spacing w:after="0" w:line="116" w:lineRule="exact"/>
        <w:rPr>
          <w:rFonts w:ascii="Times New Roman" w:cs="Times New Roman" w:eastAsia="Times New Roman" w:hAnsi="Times New Roman"/>
          <w:sz w:val="18"/>
          <w:szCs w:val="18"/>
          <w:color w:val="auto"/>
        </w:rPr>
      </w:pPr>
    </w:p>
    <w:p>
      <w:pPr>
        <w:ind w:left="940" w:right="740" w:hanging="288"/>
        <w:spacing w:after="0" w:line="281"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approval or authorization to commence a clinical trial, including delays or issues relating to any future companion diagnostics which we may develop;</w:t>
      </w:r>
    </w:p>
    <w:p>
      <w:pPr>
        <w:spacing w:after="0" w:line="54" w:lineRule="exact"/>
        <w:rPr>
          <w:rFonts w:ascii="Times New Roman" w:cs="Times New Roman" w:eastAsia="Times New Roman" w:hAnsi="Times New Roman"/>
          <w:sz w:val="18"/>
          <w:szCs w:val="18"/>
          <w:color w:val="auto"/>
        </w:rPr>
      </w:pPr>
    </w:p>
    <w:p>
      <w:pPr>
        <w:ind w:left="940" w:right="700" w:hanging="288"/>
        <w:spacing w:after="0" w:line="281"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clinical trial site;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 adequate number of suitable patients to participate in a clinical trial;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w:t>
      </w:r>
    </w:p>
    <w:p>
      <w:pPr>
        <w:spacing w:after="0" w:line="116" w:lineRule="exact"/>
        <w:rPr>
          <w:rFonts w:ascii="Times New Roman" w:cs="Times New Roman" w:eastAsia="Times New Roman" w:hAnsi="Times New Roman"/>
          <w:sz w:val="18"/>
          <w:szCs w:val="18"/>
          <w:color w:val="auto"/>
        </w:rPr>
      </w:pPr>
    </w:p>
    <w:p>
      <w:pPr>
        <w:ind w:left="940" w:right="120" w:hanging="288"/>
        <w:spacing w:after="0" w:line="265"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subjects complete a clinical trial or return for post-treatment follow-up;</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clinical trial protocol or dropping out of a clinical trial;</w:t>
      </w:r>
    </w:p>
    <w:p>
      <w:pPr>
        <w:spacing w:after="0" w:line="116" w:lineRule="exact"/>
        <w:rPr>
          <w:rFonts w:ascii="Times New Roman" w:cs="Times New Roman" w:eastAsia="Times New Roman" w:hAnsi="Times New Roman"/>
          <w:sz w:val="18"/>
          <w:szCs w:val="18"/>
          <w:color w:val="auto"/>
        </w:rPr>
      </w:pPr>
    </w:p>
    <w:p>
      <w:pPr>
        <w:ind w:left="940" w:right="940" w:hanging="288"/>
        <w:spacing w:after="0" w:line="281" w:lineRule="auto"/>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third-party contractors fail to complete their obligations in a timely manner or failing to comply with applicable regulatory requirements;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subject safety concerns that arise during the course of a clinical trial;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product supply of product candidate for use in preclinical studies or clinical trials from third-party suppliers.</w:t>
      </w:r>
    </w:p>
    <w:p>
      <w:pPr>
        <w:spacing w:after="0" w:line="22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6" w:name="page67"/>
    <w:bookmarkEnd w:id="66"/>
    <w:p>
      <w:pPr>
        <w:ind w:firstLine="644"/>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7"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29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1"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2" w:lineRule="exact"/>
        <w:rPr>
          <w:sz w:val="20"/>
          <w:szCs w:val="20"/>
          <w:color w:val="auto"/>
        </w:rPr>
      </w:pPr>
    </w:p>
    <w:p>
      <w:pPr>
        <w:ind w:right="20" w:firstLine="644"/>
        <w:spacing w:after="0" w:line="269"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drugs to be reviewed and/or approved by necessary government agencies, which would adversely affect our business. For example in 2018 and 2019, the U.S. government shut down several times and certain regulatory agencies, such as the FDA and the SEC, had to furlough critical employees and stop critical activities. Separately, in response to the COVID-19 public health emergency, since March 2020 when foreign and domestic inspections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If a prolonged government shutdown or other disruption occurs, including delays or disruptions due to travel restrictions, foreign COVID-19-related policies, staffing shortages or public health reasons,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7" w:name="page68"/>
    <w:bookmarkEnd w:id="67"/>
    <w:p>
      <w:pPr>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6"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77"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risk evaluation and mitigation strategy, or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8" w:lineRule="exact"/>
        <w:rPr>
          <w:sz w:val="20"/>
          <w:szCs w:val="20"/>
          <w:color w:val="auto"/>
        </w:rPr>
      </w:pPr>
    </w:p>
    <w:p>
      <w:pPr>
        <w:ind w:left="940" w:right="800" w:hanging="288"/>
        <w:spacing w:after="0" w:line="281"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6" w:lineRule="exact"/>
        <w:rPr>
          <w:rFonts w:ascii="Times New Roman" w:cs="Times New Roman" w:eastAsia="Times New Roman" w:hAnsi="Times New Roman"/>
          <w:sz w:val="18"/>
          <w:szCs w:val="18"/>
          <w:color w:val="auto"/>
        </w:rPr>
      </w:pPr>
    </w:p>
    <w:p>
      <w:pPr>
        <w:ind w:left="940" w:right="620" w:hanging="288"/>
        <w:spacing w:after="0" w:line="281"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6" w:lineRule="exact"/>
        <w:rPr>
          <w:rFonts w:ascii="Times New Roman" w:cs="Times New Roman" w:eastAsia="Times New Roman" w:hAnsi="Times New Roman"/>
          <w:sz w:val="18"/>
          <w:szCs w:val="18"/>
          <w:color w:val="auto"/>
        </w:rPr>
      </w:pPr>
    </w:p>
    <w:p>
      <w:pPr>
        <w:ind w:left="940" w:right="600" w:hanging="288"/>
        <w:spacing w:after="0" w:line="281"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ind w:right="120" w:firstLine="644"/>
        <w:spacing w:after="0" w:line="253"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certain policies and regulations promulgated during the Trump administration as well as those implemented by the Biden administration may impact our business and industry. To the extent any current or future executive or legislative actions impose significant changes in or burdens on, or otherwise materially delay, FDA’s ability to engage in routine oversight activities, such as implementing regulations through rulemaking, issuance of guidance, and agency review and approval of marketing applications on a timely basis, our business and clinical development plans could be negatively impacted. It remains to be seen how the Biden administration and new leadership at the HHS and FDA will impact our business. If we, as well as our contractors, are slow or unable to adapt to changes in existing requirements or the adoption of new requirements or policies, or are not able to maintain regulatory compliance, we may be delayed in obtaining regulatory approval, lose any marketing approval that we may have obtained, and we may not achieve or sustain profitability.</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occurrence of any event or penalty described above may inhibit our ability to commercialize our product candidates, if approved, and generate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6"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9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9" w:name="page70"/>
    <w:bookmarkEnd w:id="69"/>
    <w:p>
      <w:pPr>
        <w:ind w:firstLine="64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may vary from 1% in 2022 to up to 4% in the final fiscal year of this sequester.</w:t>
      </w:r>
    </w:p>
    <w:p>
      <w:pPr>
        <w:spacing w:after="0" w:line="187"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190"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9" w:lineRule="exact"/>
        <w:rPr>
          <w:sz w:val="20"/>
          <w:szCs w:val="20"/>
          <w:color w:val="auto"/>
        </w:rPr>
      </w:pPr>
    </w:p>
    <w:p>
      <w:pPr>
        <w:ind w:right="320" w:firstLine="644"/>
        <w:spacing w:after="0" w:line="260"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2"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0" w:name="page71"/>
    <w:bookmarkEnd w:id="70"/>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0"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0"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74" w:lineRule="exact"/>
        <w:rPr>
          <w:sz w:val="20"/>
          <w:szCs w:val="20"/>
          <w:color w:val="auto"/>
        </w:rPr>
      </w:pPr>
    </w:p>
    <w:p>
      <w:pPr>
        <w:ind w:left="940" w:right="20" w:hanging="288"/>
        <w:spacing w:after="0" w:line="254"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81" w:lineRule="exact"/>
        <w:rPr>
          <w:rFonts w:ascii="Times New Roman" w:cs="Times New Roman" w:eastAsia="Times New Roman" w:hAnsi="Times New Roman"/>
          <w:sz w:val="18"/>
          <w:szCs w:val="18"/>
          <w:color w:val="auto"/>
        </w:rPr>
      </w:pPr>
    </w:p>
    <w:p>
      <w:pPr>
        <w:ind w:left="940" w:right="20" w:hanging="288"/>
        <w:spacing w:after="0" w:line="253"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78" w:lineRule="exact"/>
        <w:rPr>
          <w:rFonts w:ascii="Times New Roman" w:cs="Times New Roman" w:eastAsia="Times New Roman" w:hAnsi="Times New Roman"/>
          <w:sz w:val="18"/>
          <w:szCs w:val="18"/>
          <w:color w:val="auto"/>
        </w:rPr>
      </w:pPr>
    </w:p>
    <w:p>
      <w:pPr>
        <w:ind w:left="940" w:hanging="288"/>
        <w:spacing w:after="0" w:line="255"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78" w:lineRule="exact"/>
        <w:rPr>
          <w:rFonts w:ascii="Times New Roman" w:cs="Times New Roman" w:eastAsia="Times New Roman" w:hAnsi="Times New Roman"/>
          <w:sz w:val="18"/>
          <w:szCs w:val="18"/>
          <w:color w:val="auto"/>
        </w:rPr>
      </w:pPr>
    </w:p>
    <w:p>
      <w:pPr>
        <w:ind w:left="940" w:hanging="288"/>
        <w:spacing w:after="0" w:line="256"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created under the ACA and its implementing regulations, which require applicable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covered recipients, including physicians (defined to include doctors, dentists, optometrists, podiatrists and chiropractors), other non-physician healthcare providers (such as physician assistants and nurse practitioners, among others), and teaching hospitals, as well as ownership and investment interests held by physicians, as defined by law, and their immediate family members;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2" w:name="page73"/>
    <w:bookmarkEnd w:id="72"/>
    <w:p>
      <w:pPr>
        <w:ind w:left="940" w:right="320" w:hanging="288"/>
        <w:spacing w:after="0" w:line="281"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4" w:lineRule="exact"/>
        <w:rPr>
          <w:rFonts w:ascii="Times New Roman" w:cs="Times New Roman" w:eastAsia="Times New Roman" w:hAnsi="Times New Roman"/>
          <w:sz w:val="18"/>
          <w:szCs w:val="18"/>
          <w:color w:val="auto"/>
        </w:rPr>
      </w:pPr>
    </w:p>
    <w:p>
      <w:pPr>
        <w:ind w:left="940" w:hanging="288"/>
        <w:spacing w:after="0" w:line="254"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89"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Data collection is governed by restrictive regulations governing the use, processing and cross-border transfer of personal information.</w:t>
      </w:r>
    </w:p>
    <w:p>
      <w:pPr>
        <w:spacing w:after="0" w:line="121"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In connection with our clinical trials or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89" w:lineRule="exact"/>
        <w:rPr>
          <w:sz w:val="20"/>
          <w:szCs w:val="20"/>
          <w:color w:val="auto"/>
        </w:rPr>
      </w:pPr>
    </w:p>
    <w:p>
      <w:pPr>
        <w:ind w:right="140" w:firstLine="644"/>
        <w:spacing w:after="0" w:line="252" w:lineRule="auto"/>
        <w:rPr>
          <w:sz w:val="20"/>
          <w:szCs w:val="20"/>
          <w:color w:val="auto"/>
        </w:rPr>
      </w:pPr>
      <w:r>
        <w:rPr>
          <w:rFonts w:ascii="Times New Roman" w:cs="Times New Roman" w:eastAsia="Times New Roman" w:hAnsi="Times New Roman"/>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74" w:name="page75"/>
    <w:bookmarkEnd w:id="74"/>
    <w:p>
      <w:pPr>
        <w:ind w:firstLine="644"/>
        <w:spacing w:after="0" w:line="253" w:lineRule="auto"/>
        <w:rPr>
          <w:sz w:val="20"/>
          <w:szCs w:val="20"/>
          <w:color w:val="auto"/>
        </w:rPr>
      </w:pPr>
      <w:r>
        <w:rPr>
          <w:rFonts w:ascii="Times New Roman" w:cs="Times New Roman" w:eastAsia="Times New Roman" w:hAnsi="Times New Roman"/>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In November 2020, California passed the California Privacy Rights Act, or CPRA, which amends and expands the CCPA. Although the CCPA includes exemptions for certain clinical trial data, the law may increase our compliance costs and potential liability with respect to other personal information. The CCPA and CPRA may impact our business activities and exemplifies the vulnerability of our business to the evolving regulatory environment related to personal data and protected health information.</w:t>
      </w:r>
    </w:p>
    <w:p>
      <w:pPr>
        <w:spacing w:after="0" w:line="189"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0"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6" w:lineRule="exact"/>
        <w:rPr>
          <w:sz w:val="20"/>
          <w:szCs w:val="20"/>
          <w:color w:val="auto"/>
        </w:rPr>
      </w:pPr>
    </w:p>
    <w:p>
      <w:pPr>
        <w:ind w:right="80" w:firstLine="644"/>
        <w:spacing w:after="0" w:line="26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5" w:name="page76"/>
    <w:bookmarkEnd w:id="7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0" w:lineRule="exact"/>
        <w:rPr>
          <w:sz w:val="20"/>
          <w:szCs w:val="20"/>
          <w:color w:val="auto"/>
        </w:rPr>
      </w:pPr>
    </w:p>
    <w:p>
      <w:pPr>
        <w:ind w:right="180" w:firstLine="644"/>
        <w:spacing w:after="0" w:line="270"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Operating Officer and Chief Financial Officer, our Chief Medical Officer and our Chief Regulatory and Quality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8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8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76" w:name="page77"/>
    <w:bookmarkEnd w:id="76"/>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0" w:lineRule="exact"/>
        <w:rPr>
          <w:sz w:val="20"/>
          <w:szCs w:val="20"/>
          <w:color w:val="auto"/>
        </w:rPr>
      </w:pPr>
    </w:p>
    <w:p>
      <w:pPr>
        <w:ind w:right="320" w:firstLine="644"/>
        <w:spacing w:after="0" w:line="260" w:lineRule="auto"/>
        <w:rPr>
          <w:sz w:val="20"/>
          <w:szCs w:val="20"/>
          <w:color w:val="auto"/>
        </w:rPr>
      </w:pPr>
      <w:r>
        <w:rPr>
          <w:rFonts w:ascii="Times New Roman" w:cs="Times New Roman" w:eastAsia="Times New Roman" w:hAnsi="Times New Roman"/>
          <w:sz w:val="18"/>
          <w:szCs w:val="18"/>
          <w:color w:val="auto"/>
        </w:rPr>
        <w:t>As of February 28, 2023, we had 62 full-time employees, including 45 employees engaged in research and development activities. In order to successfully implement our development and commercialization plans and strategies, and as we are a relatively new public company, we expect to need additional managerial, operational, sales, marketing, financial and other personnel. Future growth would impose significant added responsibilities on members of management, including:</w:t>
      </w:r>
    </w:p>
    <w:p>
      <w:pPr>
        <w:spacing w:after="0" w:line="74" w:lineRule="exact"/>
        <w:rPr>
          <w:sz w:val="20"/>
          <w:szCs w:val="20"/>
          <w:color w:val="auto"/>
        </w:rPr>
      </w:pPr>
    </w:p>
    <w:p>
      <w:pPr>
        <w:ind w:left="940" w:hanging="288"/>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6" w:lineRule="exact"/>
        <w:rPr>
          <w:rFonts w:ascii="Times New Roman" w:cs="Times New Roman" w:eastAsia="Times New Roman" w:hAnsi="Times New Roman"/>
          <w:sz w:val="18"/>
          <w:szCs w:val="18"/>
          <w:color w:val="auto"/>
        </w:rPr>
      </w:pPr>
    </w:p>
    <w:p>
      <w:pPr>
        <w:ind w:left="940" w:hanging="288"/>
        <w:spacing w:after="0" w:line="265" w:lineRule="auto"/>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7"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7" w:lineRule="exact"/>
        <w:rPr>
          <w:sz w:val="20"/>
          <w:szCs w:val="20"/>
          <w:color w:val="auto"/>
        </w:rPr>
      </w:pPr>
    </w:p>
    <w:p>
      <w:pPr>
        <w:ind w:right="320" w:firstLine="644"/>
        <w:spacing w:after="0" w:line="265"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77" w:name="page78"/>
    <w:bookmarkEnd w:id="77"/>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1" w:lineRule="exact"/>
        <w:rPr>
          <w:sz w:val="20"/>
          <w:szCs w:val="20"/>
          <w:color w:val="auto"/>
        </w:rPr>
      </w:pPr>
    </w:p>
    <w:p>
      <w:pPr>
        <w:ind w:firstLine="644"/>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For example, companies have experienced an increase in phishing and social engineering attacks from third parties in connection with the COVID-19 pandemic.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98"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8" w:name="page79"/>
    <w:bookmarkEnd w:id="78"/>
    <w:p>
      <w:pPr>
        <w:ind w:right="240" w:firstLine="644"/>
        <w:spacing w:after="0" w:line="280" w:lineRule="auto"/>
        <w:rPr>
          <w:sz w:val="20"/>
          <w:szCs w:val="20"/>
          <w:color w:val="auto"/>
        </w:rPr>
      </w:pPr>
      <w:r>
        <w:rPr>
          <w:rFonts w:ascii="Times New Roman" w:cs="Times New Roman" w:eastAsia="Times New Roman" w:hAnsi="Times New Roman"/>
          <w:sz w:val="17"/>
          <w:szCs w:val="17"/>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materially adversely affect our future revenue and financial condition and increase our costs and expenses.</w:t>
      </w:r>
    </w:p>
    <w:p>
      <w:pPr>
        <w:spacing w:after="0" w:line="121"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consultants and third parties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limited.</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As of December 31, 2022, we had federal and state net operating loss, or NOL, carryforwards of $174.7 million, and research and development credit carryforwards of approximately $9.7 million. Our federal NOLs generated in tax years ending on or prior to December 31, 2017 are only permitted to be carried forward for 20 taxable years, and therefore could expire unused. Under the Tax Cuts and Jobs Act, as amended by the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 Our federal NOL carryforwards will begin to expire in 2033, and our federal credit carryforwards will begin to expire in 2034, if not fully utilized. Some of our state NOL carryforwards and state credit carryforwards may also expire unused.</w:t>
      </w:r>
    </w:p>
    <w:p>
      <w:pPr>
        <w:spacing w:after="0" w:line="187" w:lineRule="exact"/>
        <w:rPr>
          <w:sz w:val="20"/>
          <w:szCs w:val="20"/>
          <w:color w:val="auto"/>
        </w:rPr>
      </w:pPr>
    </w:p>
    <w:p>
      <w:pPr>
        <w:jc w:val="both"/>
        <w:ind w:right="40" w:firstLine="644"/>
        <w:spacing w:after="0" w:line="272" w:lineRule="auto"/>
        <w:rPr>
          <w:sz w:val="20"/>
          <w:szCs w:val="20"/>
          <w:color w:val="auto"/>
        </w:rPr>
      </w:pPr>
      <w:r>
        <w:rPr>
          <w:rFonts w:ascii="Times New Roman" w:cs="Times New Roman" w:eastAsia="Times New Roman" w:hAnsi="Times New Roman"/>
          <w:sz w:val="17"/>
          <w:szCs w:val="17"/>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whether we have experienced an ownership change or the annual limitations, if any, that could result from such an ownership change.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There is also a risk that due to federal or state regulatory changes, such as suspensions on the use of NOLs, our existing NOLs could expire or otherwise be unavailable to offset future income tax liabilities.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9" w:name="page80"/>
    <w:bookmarkEnd w:id="79"/>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could have a material adverse effect on our business, financial condition and results of operations.</w:t>
      </w:r>
    </w:p>
    <w:p>
      <w:pPr>
        <w:spacing w:after="0" w:line="50" w:lineRule="exact"/>
        <w:rPr>
          <w:sz w:val="20"/>
          <w:szCs w:val="20"/>
          <w:color w:val="auto"/>
        </w:rPr>
      </w:pPr>
    </w:p>
    <w:p>
      <w:pPr>
        <w:ind w:firstLine="644"/>
        <w:spacing w:after="0" w:line="274" w:lineRule="auto"/>
        <w:rPr>
          <w:sz w:val="20"/>
          <w:szCs w:val="20"/>
          <w:color w:val="auto"/>
        </w:rPr>
      </w:pPr>
      <w:r>
        <w:rPr>
          <w:rFonts w:ascii="Times New Roman" w:cs="Times New Roman" w:eastAsia="Times New Roman" w:hAnsi="Times New Roman"/>
          <w:sz w:val="17"/>
          <w:szCs w:val="17"/>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Tax Cuts and Jobs Act of 2017 eliminates the option to deduct research and development expenditures currently and requires taxpayers to capitalize and amortize them over five or fifteen years pursuant to Section 174 of the Code, beginning in 2022. Further, the Inflation Reduction Act of 2022, among other changes, imposes a one-percent excise tax on stock repurchases made on or after January 1, 2023. Any further changes in tax laws or regulations that are applied adversely to us could have a material adverse effect on our business, financial condition and results of operations.</w:t>
      </w:r>
    </w:p>
    <w:p>
      <w:pPr>
        <w:spacing w:after="0" w:line="27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66"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including COVID-19,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6" w:lineRule="exact"/>
        <w:rPr>
          <w:sz w:val="20"/>
          <w:szCs w:val="20"/>
          <w:color w:val="auto"/>
        </w:rPr>
      </w:pPr>
    </w:p>
    <w:p>
      <w:pPr>
        <w:ind w:firstLine="644"/>
        <w:spacing w:after="0" w:line="280" w:lineRule="auto"/>
        <w:rPr>
          <w:sz w:val="20"/>
          <w:szCs w:val="20"/>
          <w:color w:val="auto"/>
        </w:rPr>
      </w:pPr>
      <w:r>
        <w:rPr>
          <w:rFonts w:ascii="Times New Roman" w:cs="Times New Roman" w:eastAsia="Times New Roman" w:hAnsi="Times New Roman"/>
          <w:sz w:val="17"/>
          <w:szCs w:val="17"/>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66"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0"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6"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81" w:name="page82"/>
    <w:bookmarkEnd w:id="81"/>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7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82"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adversely affected.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940" w:right="340" w:hanging="288"/>
        <w:spacing w:after="0" w:line="281"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manufacturer would have to be educated in, or develop substantially equivalent processes for, the production of our product candidates;</w:t>
      </w:r>
    </w:p>
    <w:p>
      <w:pPr>
        <w:spacing w:after="0" w:line="116" w:lineRule="exact"/>
        <w:rPr>
          <w:rFonts w:ascii="Times New Roman" w:cs="Times New Roman" w:eastAsia="Times New Roman" w:hAnsi="Times New Roman"/>
          <w:sz w:val="18"/>
          <w:szCs w:val="18"/>
          <w:color w:val="auto"/>
        </w:rPr>
      </w:pPr>
    </w:p>
    <w:p>
      <w:pPr>
        <w:ind w:left="940" w:right="220" w:hanging="288"/>
        <w:spacing w:after="0" w:line="281"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manufacture our product candidates or produce the quantity and quality required to meet our clinical and commercial needs, if any;</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and other logistical support requirements appropriately;</w:t>
      </w:r>
    </w:p>
    <w:p>
      <w:pPr>
        <w:spacing w:after="0" w:line="116" w:lineRule="exact"/>
        <w:rPr>
          <w:rFonts w:ascii="Times New Roman" w:cs="Times New Roman" w:eastAsia="Times New Roman" w:hAnsi="Times New Roman"/>
          <w:sz w:val="18"/>
          <w:szCs w:val="18"/>
          <w:color w:val="auto"/>
        </w:rPr>
      </w:pPr>
    </w:p>
    <w:p>
      <w:pPr>
        <w:ind w:left="940" w:hanging="288"/>
        <w:spacing w:after="0" w:line="265"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9" w:lineRule="exact"/>
        <w:rPr>
          <w:rFonts w:ascii="Times New Roman" w:cs="Times New Roman" w:eastAsia="Times New Roman" w:hAnsi="Times New Roman"/>
          <w:sz w:val="18"/>
          <w:szCs w:val="18"/>
          <w:color w:val="auto"/>
        </w:rPr>
      </w:pPr>
    </w:p>
    <w:p>
      <w:pPr>
        <w:ind w:left="940" w:right="520" w:hanging="288"/>
        <w:spacing w:after="0" w:line="265"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9" w:lineRule="exact"/>
        <w:rPr>
          <w:rFonts w:ascii="Times New Roman" w:cs="Times New Roman" w:eastAsia="Times New Roman" w:hAnsi="Times New Roman"/>
          <w:sz w:val="18"/>
          <w:szCs w:val="18"/>
          <w:color w:val="auto"/>
        </w:rPr>
      </w:pPr>
    </w:p>
    <w:p>
      <w:pPr>
        <w:ind w:left="940" w:right="380" w:hanging="288"/>
        <w:spacing w:after="0" w:line="281" w:lineRule="auto"/>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82" w:name="page83"/>
    <w:bookmarkEnd w:id="82"/>
    <w:p>
      <w:pPr>
        <w:ind w:left="940" w:right="20" w:hanging="288"/>
        <w:spacing w:after="0" w:line="281"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and critical reagent suppliers may be subject to inclement weather, as well as natural or man-made disasters; and</w:t>
      </w:r>
    </w:p>
    <w:p>
      <w:pPr>
        <w:spacing w:after="0" w:line="116" w:lineRule="exact"/>
        <w:rPr>
          <w:rFonts w:ascii="Times New Roman" w:cs="Times New Roman" w:eastAsia="Times New Roman" w:hAnsi="Times New Roman"/>
          <w:sz w:val="18"/>
          <w:szCs w:val="18"/>
          <w:color w:val="auto"/>
        </w:rPr>
      </w:pPr>
    </w:p>
    <w:p>
      <w:pPr>
        <w:ind w:left="940" w:right="60" w:hanging="288"/>
        <w:spacing w:after="0" w:line="281" w:lineRule="auto"/>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63"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8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5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191"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3" w:name="page84"/>
    <w:bookmarkEnd w:id="83"/>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5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9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66"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50" w:lineRule="exact"/>
        <w:rPr>
          <w:sz w:val="20"/>
          <w:szCs w:val="20"/>
          <w:color w:val="auto"/>
        </w:rPr>
      </w:pPr>
    </w:p>
    <w:p>
      <w:pPr>
        <w:ind w:right="180" w:firstLine="644"/>
        <w:spacing w:after="0" w:line="260" w:lineRule="auto"/>
        <w:rPr>
          <w:sz w:val="20"/>
          <w:szCs w:val="20"/>
          <w:color w:val="auto"/>
        </w:rPr>
      </w:pPr>
      <w:r>
        <w:rPr>
          <w:rFonts w:ascii="Times New Roman" w:cs="Times New Roman" w:eastAsia="Times New Roman" w:hAnsi="Times New Roman"/>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2"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940" w:hanging="288"/>
        <w:spacing w:after="0"/>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6" w:lineRule="exact"/>
        <w:rPr>
          <w:rFonts w:ascii="Times New Roman" w:cs="Times New Roman" w:eastAsia="Times New Roman" w:hAnsi="Times New Roman"/>
          <w:sz w:val="18"/>
          <w:szCs w:val="18"/>
          <w:color w:val="auto"/>
        </w:rPr>
      </w:pPr>
    </w:p>
    <w:p>
      <w:pPr>
        <w:ind w:left="940" w:right="180" w:hanging="288"/>
        <w:spacing w:after="0" w:line="260"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3" w:lineRule="exact"/>
        <w:rPr>
          <w:rFonts w:ascii="Times New Roman" w:cs="Times New Roman" w:eastAsia="Times New Roman" w:hAnsi="Times New Roman"/>
          <w:sz w:val="18"/>
          <w:szCs w:val="18"/>
          <w:color w:val="auto"/>
        </w:rPr>
      </w:pPr>
    </w:p>
    <w:p>
      <w:pPr>
        <w:ind w:left="940" w:right="80" w:hanging="288"/>
        <w:spacing w:after="0" w:line="281"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4" w:lineRule="exact"/>
        <w:rPr>
          <w:rFonts w:ascii="Times New Roman" w:cs="Times New Roman" w:eastAsia="Times New Roman" w:hAnsi="Times New Roman"/>
          <w:sz w:val="18"/>
          <w:szCs w:val="18"/>
          <w:color w:val="auto"/>
        </w:rPr>
      </w:pPr>
    </w:p>
    <w:p>
      <w:pPr>
        <w:ind w:left="940" w:right="660" w:hanging="288"/>
        <w:spacing w:after="0" w:line="281"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4" w:lineRule="exact"/>
        <w:rPr>
          <w:rFonts w:ascii="Times New Roman" w:cs="Times New Roman" w:eastAsia="Times New Roman" w:hAnsi="Times New Roman"/>
          <w:sz w:val="18"/>
          <w:szCs w:val="18"/>
          <w:color w:val="auto"/>
        </w:rPr>
      </w:pPr>
    </w:p>
    <w:p>
      <w:pPr>
        <w:ind w:left="940" w:right="460" w:hanging="288"/>
        <w:spacing w:after="0" w:line="281"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4" w:lineRule="exact"/>
        <w:rPr>
          <w:rFonts w:ascii="Times New Roman" w:cs="Times New Roman" w:eastAsia="Times New Roman" w:hAnsi="Times New Roman"/>
          <w:sz w:val="18"/>
          <w:szCs w:val="18"/>
          <w:color w:val="auto"/>
        </w:rPr>
      </w:pPr>
    </w:p>
    <w:p>
      <w:pPr>
        <w:ind w:left="940" w:right="80" w:hanging="288"/>
        <w:spacing w:after="0" w:line="265"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9" w:lineRule="exact"/>
        <w:rPr>
          <w:rFonts w:ascii="Times New Roman" w:cs="Times New Roman" w:eastAsia="Times New Roman" w:hAnsi="Times New Roman"/>
          <w:sz w:val="18"/>
          <w:szCs w:val="18"/>
          <w:color w:val="auto"/>
        </w:rPr>
      </w:pPr>
    </w:p>
    <w:p>
      <w:pPr>
        <w:ind w:left="940" w:right="60" w:hanging="288"/>
        <w:spacing w:after="0" w:line="281"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940" w:right="1080" w:hanging="288"/>
        <w:spacing w:after="0" w:line="281"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54"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63"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5" w:name="page86"/>
    <w:bookmarkEnd w:id="85"/>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50" w:lineRule="exact"/>
        <w:rPr>
          <w:sz w:val="20"/>
          <w:szCs w:val="20"/>
          <w:color w:val="auto"/>
        </w:rPr>
      </w:pPr>
    </w:p>
    <w:p>
      <w:pPr>
        <w:ind w:right="40" w:firstLine="644"/>
        <w:spacing w:after="0" w:line="272" w:lineRule="auto"/>
        <w:rPr>
          <w:sz w:val="20"/>
          <w:szCs w:val="20"/>
          <w:color w:val="auto"/>
        </w:rPr>
      </w:pPr>
      <w:r>
        <w:rPr>
          <w:rFonts w:ascii="Times New Roman" w:cs="Times New Roman" w:eastAsia="Times New Roman" w:hAnsi="Times New Roman"/>
          <w:sz w:val="17"/>
          <w:szCs w:val="17"/>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2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0" w:lineRule="exact"/>
        <w:rPr>
          <w:sz w:val="20"/>
          <w:szCs w:val="20"/>
          <w:color w:val="auto"/>
        </w:rPr>
      </w:pPr>
    </w:p>
    <w:p>
      <w:pPr>
        <w:ind w:right="200" w:firstLine="644"/>
        <w:spacing w:after="0" w:line="312" w:lineRule="auto"/>
        <w:rPr>
          <w:sz w:val="20"/>
          <w:szCs w:val="20"/>
          <w:color w:val="auto"/>
        </w:rPr>
      </w:pPr>
      <w:r>
        <w:rPr>
          <w:rFonts w:ascii="Times New Roman" w:cs="Times New Roman" w:eastAsia="Times New Roman" w:hAnsi="Times New Roman"/>
          <w:sz w:val="17"/>
          <w:szCs w:val="17"/>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31" w:lineRule="exact"/>
        <w:rPr>
          <w:sz w:val="20"/>
          <w:szCs w:val="20"/>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940" w:right="200" w:hanging="288"/>
        <w:spacing w:after="0" w:line="281"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940" w:right="40" w:hanging="288"/>
        <w:spacing w:after="0" w:line="281"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4" w:lineRule="exact"/>
        <w:rPr>
          <w:rFonts w:ascii="Times New Roman" w:cs="Times New Roman" w:eastAsia="Times New Roman" w:hAnsi="Times New Roman"/>
          <w:sz w:val="18"/>
          <w:szCs w:val="18"/>
          <w:color w:val="auto"/>
        </w:rPr>
      </w:pPr>
    </w:p>
    <w:p>
      <w:pPr>
        <w:ind w:left="940" w:right="100" w:hanging="288"/>
        <w:spacing w:after="0" w:line="281" w:lineRule="auto"/>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3"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6" w:right="39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66"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8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186"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 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87" w:name="page88"/>
    <w:bookmarkEnd w:id="87"/>
    <w:p>
      <w:pPr>
        <w:ind w:firstLine="644"/>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50"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82" w:lineRule="exact"/>
        <w:rPr>
          <w:sz w:val="20"/>
          <w:szCs w:val="20"/>
          <w:color w:val="auto"/>
        </w:rPr>
      </w:pPr>
    </w:p>
    <w:p>
      <w:pPr>
        <w:ind w:firstLine="644"/>
        <w:spacing w:after="0" w:line="276" w:lineRule="auto"/>
        <w:rPr>
          <w:sz w:val="20"/>
          <w:szCs w:val="20"/>
          <w:color w:val="auto"/>
        </w:rPr>
      </w:pPr>
      <w:r>
        <w:rPr>
          <w:rFonts w:ascii="Times New Roman" w:cs="Times New Roman" w:eastAsia="Times New Roman" w:hAnsi="Times New Roman"/>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70"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8" w:name="page89"/>
    <w:bookmarkEnd w:id="88"/>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7"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86"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6"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86" w:lineRule="exact"/>
        <w:rPr>
          <w:sz w:val="20"/>
          <w:szCs w:val="20"/>
          <w:color w:val="auto"/>
        </w:rPr>
      </w:pPr>
    </w:p>
    <w:p>
      <w:pPr>
        <w:jc w:val="both"/>
        <w:ind w:right="20" w:firstLine="644"/>
        <w:spacing w:after="0" w:line="288" w:lineRule="auto"/>
        <w:rPr>
          <w:sz w:val="20"/>
          <w:szCs w:val="20"/>
          <w:color w:val="auto"/>
        </w:rPr>
      </w:pPr>
      <w:r>
        <w:rPr>
          <w:rFonts w:ascii="Times New Roman" w:cs="Times New Roman" w:eastAsia="Times New Roman" w:hAnsi="Times New Roman"/>
          <w:sz w:val="17"/>
          <w:szCs w:val="17"/>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ind w:firstLine="644"/>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86"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189"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87"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ind w:firstLine="64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293"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6"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1" w:name="page92"/>
    <w:bookmarkEnd w:id="91"/>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50"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6" w:lineRule="exact"/>
        <w:rPr>
          <w:sz w:val="20"/>
          <w:szCs w:val="20"/>
          <w:color w:val="auto"/>
        </w:rPr>
      </w:pPr>
    </w:p>
    <w:p>
      <w:pPr>
        <w:ind w:right="140" w:firstLine="644"/>
        <w:spacing w:after="0" w:line="270" w:lineRule="auto"/>
        <w:rPr>
          <w:sz w:val="20"/>
          <w:szCs w:val="20"/>
          <w:color w:val="auto"/>
        </w:rPr>
      </w:pPr>
      <w:r>
        <w:rPr>
          <w:rFonts w:ascii="Times New Roman" w:cs="Times New Roman" w:eastAsia="Times New Roman" w:hAnsi="Times New Roman"/>
          <w:sz w:val="17"/>
          <w:szCs w:val="17"/>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8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5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6" w:lineRule="exact"/>
        <w:rPr>
          <w:sz w:val="20"/>
          <w:szCs w:val="20"/>
          <w:color w:val="auto"/>
        </w:rPr>
      </w:pPr>
    </w:p>
    <w:p>
      <w:pPr>
        <w:ind w:right="160" w:firstLine="644"/>
        <w:spacing w:after="0" w:line="260"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6" w:right="359" w:bottom="1440" w:gutter="0" w:footer="0" w:header="0"/>
        </w:sectPr>
      </w:pPr>
    </w:p>
    <w:bookmarkStart w:id="92" w:name="page93"/>
    <w:bookmarkEnd w:id="92"/>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6" w:lineRule="exact"/>
        <w:rPr>
          <w:sz w:val="20"/>
          <w:szCs w:val="20"/>
          <w:color w:val="auto"/>
        </w:rPr>
      </w:pPr>
    </w:p>
    <w:p>
      <w:pPr>
        <w:jc w:val="both"/>
        <w:ind w:right="100" w:firstLine="644"/>
        <w:spacing w:after="0" w:line="26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7"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may be required to protect our patents through procedures created to attack the validity of a patent at the USPTO. The USPTO hears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possibility of post-grant proceedings could have a material adverse effect on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7"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3" w:name="page94"/>
    <w:bookmarkEnd w:id="93"/>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2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0"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40" w:firstLine="644"/>
        <w:spacing w:after="0" w:line="269"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94" w:name="page95"/>
    <w:bookmarkEnd w:id="9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0"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9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p>
    <w:p>
      <w:pPr>
        <w:spacing w:after="0" w:line="66"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7"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86" w:lineRule="exact"/>
        <w:rPr>
          <w:sz w:val="20"/>
          <w:szCs w:val="20"/>
          <w:color w:val="auto"/>
        </w:rPr>
      </w:pPr>
    </w:p>
    <w:p>
      <w:pPr>
        <w:ind w:right="160" w:firstLine="644"/>
        <w:spacing w:after="0" w:line="265"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6" w:right="359" w:bottom="1440" w:gutter="0" w:footer="0" w:header="0"/>
        </w:sectPr>
      </w:pPr>
    </w:p>
    <w:bookmarkStart w:id="95" w:name="page96"/>
    <w:bookmarkEnd w:id="95"/>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86"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 resources.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8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66"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6" w:name="page97"/>
    <w:bookmarkEnd w:id="96"/>
    <w:p>
      <w:pPr>
        <w:ind w:right="7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7"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8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2"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78" w:lineRule="exact"/>
        <w:rPr>
          <w:sz w:val="20"/>
          <w:szCs w:val="20"/>
          <w:color w:val="auto"/>
        </w:rPr>
      </w:pPr>
    </w:p>
    <w:p>
      <w:pPr>
        <w:ind w:left="940" w:hanging="288"/>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940" w:right="640" w:hanging="288"/>
        <w:spacing w:after="0" w:line="281"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6" w:lineRule="exact"/>
        <w:rPr>
          <w:rFonts w:ascii="Times New Roman" w:cs="Times New Roman" w:eastAsia="Times New Roman" w:hAnsi="Times New Roman"/>
          <w:sz w:val="18"/>
          <w:szCs w:val="18"/>
          <w:color w:val="auto"/>
        </w:rPr>
      </w:pPr>
    </w:p>
    <w:p>
      <w:pPr>
        <w:ind w:left="940" w:right="500" w:hanging="288"/>
        <w:spacing w:after="0" w:line="281"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16" w:lineRule="exact"/>
        <w:rPr>
          <w:rFonts w:ascii="Times New Roman" w:cs="Times New Roman" w:eastAsia="Times New Roman" w:hAnsi="Times New Roman"/>
          <w:sz w:val="18"/>
          <w:szCs w:val="18"/>
          <w:color w:val="auto"/>
        </w:rPr>
      </w:pPr>
    </w:p>
    <w:p>
      <w:pPr>
        <w:ind w:left="940" w:right="360" w:hanging="288"/>
        <w:spacing w:after="0" w:line="281" w:lineRule="auto"/>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3" w:lineRule="exact"/>
        <w:rPr>
          <w:sz w:val="20"/>
          <w:szCs w:val="20"/>
          <w:color w:val="auto"/>
        </w:rPr>
      </w:pPr>
    </w:p>
    <w:p>
      <w:pPr>
        <w:ind w:right="340" w:firstLine="644"/>
        <w:spacing w:after="0" w:line="265" w:lineRule="auto"/>
        <w:rPr>
          <w:sz w:val="20"/>
          <w:szCs w:val="20"/>
          <w:color w:val="auto"/>
        </w:rPr>
      </w:pPr>
      <w:r>
        <w:rPr>
          <w:rFonts w:ascii="Times New Roman" w:cs="Times New Roman" w:eastAsia="Times New Roman" w:hAnsi="Times New Roman"/>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77" w:lineRule="exact"/>
        <w:rPr>
          <w:sz w:val="20"/>
          <w:szCs w:val="20"/>
          <w:color w:val="auto"/>
        </w:rPr>
      </w:pPr>
    </w:p>
    <w:p>
      <w:pPr>
        <w:ind w:right="20" w:firstLine="644"/>
        <w:spacing w:after="0" w:line="265"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97" w:name="page98"/>
    <w:bookmarkEnd w:id="97"/>
    <w:p>
      <w:pPr>
        <w:ind w:left="364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jc w:val="both"/>
        <w:ind w:right="320" w:firstLine="644"/>
        <w:spacing w:after="0" w:line="265"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including limited trading volume. In addition to the factors discussed in this “Risk Factors” section and elsewhere in this Annual Report on Form 10-K, these factors include:</w:t>
      </w:r>
    </w:p>
    <w:p>
      <w:pPr>
        <w:spacing w:after="0" w:line="69" w:lineRule="exact"/>
        <w:rPr>
          <w:sz w:val="20"/>
          <w:szCs w:val="20"/>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planned or any future preclinical studies, clinical trials or clinical development programs;</w:t>
      </w:r>
    </w:p>
    <w:p>
      <w:pPr>
        <w:spacing w:after="0" w:line="116" w:lineRule="exact"/>
        <w:rPr>
          <w:rFonts w:ascii="Times New Roman" w:cs="Times New Roman" w:eastAsia="Times New Roman" w:hAnsi="Times New Roman"/>
          <w:sz w:val="18"/>
          <w:szCs w:val="18"/>
          <w:color w:val="auto"/>
        </w:rPr>
      </w:pPr>
    </w:p>
    <w:p>
      <w:pPr>
        <w:ind w:left="940" w:hanging="288"/>
        <w:spacing w:after="0" w:line="281"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clinical trials of our product candidates or any future clinical trials we may conduct, or changes in the development status of our product candidates;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and clinical trials;</w:t>
      </w:r>
    </w:p>
    <w:p>
      <w:pPr>
        <w:spacing w:after="0" w:line="116" w:lineRule="exact"/>
        <w:rPr>
          <w:rFonts w:ascii="Times New Roman" w:cs="Times New Roman" w:eastAsia="Times New Roman" w:hAnsi="Times New Roman"/>
          <w:sz w:val="18"/>
          <w:szCs w:val="18"/>
          <w:color w:val="auto"/>
        </w:rPr>
      </w:pPr>
    </w:p>
    <w:p>
      <w:pPr>
        <w:ind w:left="940" w:right="20" w:hanging="288"/>
        <w:spacing w:after="0" w:line="281"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54" w:lineRule="exact"/>
        <w:rPr>
          <w:rFonts w:ascii="Times New Roman" w:cs="Times New Roman" w:eastAsia="Times New Roman" w:hAnsi="Times New Roman"/>
          <w:sz w:val="18"/>
          <w:szCs w:val="18"/>
          <w:color w:val="auto"/>
        </w:rPr>
      </w:pPr>
    </w:p>
    <w:p>
      <w:pPr>
        <w:ind w:left="940" w:right="700" w:hanging="288"/>
        <w:spacing w:after="0" w:line="281"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or any adverse regulatory decisions, including failure to receive regulatory approval of our product candidates;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but not limited to clinical trial requirements for approvals;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manufacturing plans;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licensed product or inability to do so at acceptable prices;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initial cancer target markets;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treat additional types of cancers or at different stages;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6" w:lineRule="exact"/>
        <w:rPr>
          <w:rFonts w:ascii="Times New Roman" w:cs="Times New Roman" w:eastAsia="Times New Roman" w:hAnsi="Times New Roman"/>
          <w:sz w:val="18"/>
          <w:szCs w:val="18"/>
          <w:color w:val="auto"/>
        </w:rPr>
      </w:pPr>
    </w:p>
    <w:p>
      <w:pPr>
        <w:ind w:left="940" w:right="800" w:hanging="288"/>
        <w:spacing w:after="0" w:line="281" w:lineRule="auto"/>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6" w:lineRule="exact"/>
        <w:rPr>
          <w:rFonts w:ascii="Times New Roman" w:cs="Times New Roman" w:eastAsia="Times New Roman" w:hAnsi="Times New Roman"/>
          <w:sz w:val="18"/>
          <w:szCs w:val="18"/>
          <w:color w:val="auto"/>
        </w:rPr>
      </w:pPr>
    </w:p>
    <w:p>
      <w:pPr>
        <w:ind w:left="940" w:right="380" w:hanging="288"/>
        <w:spacing w:after="0" w:line="281" w:lineRule="auto"/>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or proprietary rights, including patents, litigation matters and our ability to obtain patent protection for our technologies;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such as the COVID-19 pandemic;</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the rising rate of inflation and the Ukraine-Russia war;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right="20" w:firstLine="644"/>
        <w:spacing w:after="0" w:line="281"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63"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Prior to the closing of our initial public offering in September 2020, there was no public trading market for our common stock. Although our common stock is listed on the Nasdaq Global Select Market, the market for our shares has demonstrated varying levels of trading activity. Furthermore, an active trading market for our common stock may not be sustained in the future. The lack of an active market may impair investors’ ability to sell their shares at the time they wish to sell them or at a price that they consider reasonable may reduce the market value of their shares and may impair our ability to raise capital.</w:t>
      </w:r>
    </w:p>
    <w:p>
      <w:pPr>
        <w:spacing w:after="0" w:line="28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50"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or our market. We do not have any control over these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9" w:name="page100"/>
    <w:bookmarkEnd w:id="99"/>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0"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21"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63" w:lineRule="exact"/>
        <w:rPr>
          <w:sz w:val="20"/>
          <w:szCs w:val="20"/>
          <w:color w:val="auto"/>
        </w:rPr>
      </w:pPr>
    </w:p>
    <w:p>
      <w:pPr>
        <w:ind w:right="60" w:firstLine="644"/>
        <w:spacing w:after="0" w:line="260" w:lineRule="auto"/>
        <w:rPr>
          <w:sz w:val="20"/>
          <w:szCs w:val="20"/>
          <w:color w:val="auto"/>
        </w:rPr>
      </w:pPr>
      <w:r>
        <w:rPr>
          <w:rFonts w:ascii="Times New Roman" w:cs="Times New Roman" w:eastAsia="Times New Roman" w:hAnsi="Times New Roman"/>
          <w:sz w:val="18"/>
          <w:szCs w:val="18"/>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28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50"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As of December 31, 2022, our executive officers, directors, holders of 5% or more of our capital stock and their respective affiliates beneficially owned approximately 83% of our voting stock. As a result, this group of stockholders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capital stock, so any returns will be limited to the value of our stock.</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50"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These provisions, among other things:</w:t>
      </w:r>
    </w:p>
    <w:p>
      <w:pPr>
        <w:spacing w:after="0" w:line="55" w:lineRule="exact"/>
        <w:rPr>
          <w:sz w:val="20"/>
          <w:szCs w:val="20"/>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6" w:lineRule="exact"/>
        <w:rPr>
          <w:rFonts w:ascii="Times New Roman" w:cs="Times New Roman" w:eastAsia="Times New Roman" w:hAnsi="Times New Roman"/>
          <w:sz w:val="18"/>
          <w:szCs w:val="18"/>
          <w:color w:val="auto"/>
        </w:rPr>
      </w:pPr>
    </w:p>
    <w:p>
      <w:pPr>
        <w:ind w:left="940" w:right="480" w:hanging="288"/>
        <w:spacing w:after="0" w:line="281" w:lineRule="auto"/>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16" w:lineRule="exact"/>
        <w:rPr>
          <w:rFonts w:ascii="Times New Roman" w:cs="Times New Roman" w:eastAsia="Times New Roman" w:hAnsi="Times New Roman"/>
          <w:sz w:val="18"/>
          <w:szCs w:val="18"/>
          <w:color w:val="auto"/>
        </w:rPr>
      </w:pPr>
    </w:p>
    <w:p>
      <w:pPr>
        <w:ind w:left="940" w:right="940" w:hanging="288"/>
        <w:spacing w:after="0" w:line="281" w:lineRule="auto"/>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25"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2" w:lineRule="exact"/>
        <w:rPr>
          <w:sz w:val="20"/>
          <w:szCs w:val="20"/>
          <w:color w:val="auto"/>
        </w:rPr>
      </w:pPr>
    </w:p>
    <w:p>
      <w:pPr>
        <w:ind w:right="300" w:firstLine="644"/>
        <w:spacing w:after="0" w:line="265"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1" w:name="page102"/>
    <w:bookmarkEnd w:id="101"/>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4" w:lineRule="exact"/>
        <w:rPr>
          <w:sz w:val="20"/>
          <w:szCs w:val="20"/>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16" w:lineRule="exact"/>
        <w:rPr>
          <w:rFonts w:ascii="Times New Roman" w:cs="Times New Roman" w:eastAsia="Times New Roman" w:hAnsi="Times New Roman"/>
          <w:sz w:val="18"/>
          <w:szCs w:val="18"/>
          <w:color w:val="auto"/>
        </w:rPr>
      </w:pPr>
    </w:p>
    <w:p>
      <w:pPr>
        <w:ind w:left="940" w:right="280" w:hanging="288"/>
        <w:spacing w:after="0" w:line="281" w:lineRule="auto"/>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 and</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right="20" w:firstLine="644"/>
        <w:spacing w:after="0" w:line="281"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63" w:lineRule="exact"/>
        <w:rPr>
          <w:sz w:val="20"/>
          <w:szCs w:val="20"/>
          <w:color w:val="auto"/>
        </w:rPr>
      </w:pPr>
    </w:p>
    <w:p>
      <w:pPr>
        <w:ind w:right="180" w:firstLine="644"/>
        <w:spacing w:after="0" w:line="265"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7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29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66"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We are subject to Section 404 of the Sarbanes-Oxley Act and the related rules of the SEC and Nasdaq, which, among other things, require that we maintain effective internal control over financial reporting. In addition, Section 404 requires our management to report on the effectiveness of our internal control over financial reporting. We are also required to disclose changes made in our internal controls and procedures on a quarterly basis.</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6" w:right="439" w:bottom="1440" w:gutter="0" w:footer="0" w:header="0"/>
        </w:sectPr>
      </w:pPr>
    </w:p>
    <w:bookmarkStart w:id="102" w:name="page103"/>
    <w:bookmarkEnd w:id="102"/>
    <w:p>
      <w:pPr>
        <w:ind w:firstLine="644"/>
        <w:spacing w:after="0" w:line="255" w:lineRule="auto"/>
        <w:rPr>
          <w:sz w:val="20"/>
          <w:szCs w:val="20"/>
          <w:color w:val="auto"/>
        </w:rPr>
      </w:pPr>
      <w:r>
        <w:rPr>
          <w:rFonts w:ascii="Times New Roman" w:cs="Times New Roman" w:eastAsia="Times New Roman" w:hAnsi="Times New Roman"/>
          <w:sz w:val="18"/>
          <w:szCs w:val="18"/>
          <w:color w:val="auto"/>
        </w:rPr>
        <w:t>The requirements of these rules and regulations are difficult, time-consuming and costly, and place significant strain on our personnel, systems and resources. Effective internal controls over financial reporting are necessary for us to provide reliable financial reports and, together with adequate disclosure controls and procedures, are designed to prevent fraud. In order 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implement required new or improved controls, or difficulties encountered in their implementation could cause us to fail to meet our reporting obligations. In addition, if we are unable to continue to meet these requirements, we may not be able to remain listed on the Nasdaq Global Select Market.</w:t>
      </w:r>
    </w:p>
    <w:p>
      <w:pPr>
        <w:spacing w:after="0" w:line="187"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Any testing by us conducted in connection with Section 404, or any subsequent testing,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w:t>
      </w:r>
    </w:p>
    <w:p>
      <w:pPr>
        <w:spacing w:after="0" w:line="182"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we could lose investor confidence in the accuracy and completeness of our financial reports, which would cause the price of our common stock to decline, and we may be subject to investigation or sanctions by the SEC.</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2"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risk of securities class action litigation, which is expensive and could divert management attention.</w:t>
      </w:r>
    </w:p>
    <w:p>
      <w:pPr>
        <w:spacing w:after="0" w:line="121"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8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0"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3" w:name="page104"/>
    <w:bookmarkEnd w:id="103"/>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spacing w:after="0" w:line="182"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5" w:lineRule="exact"/>
        <w:rPr>
          <w:sz w:val="20"/>
          <w:szCs w:val="20"/>
          <w:color w:val="auto"/>
        </w:rPr>
      </w:pPr>
    </w:p>
    <w:p>
      <w:pPr>
        <w:ind w:left="940" w:hanging="288"/>
        <w:spacing w:after="0" w:line="281" w:lineRule="auto"/>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6" w:lineRule="exact"/>
        <w:rPr>
          <w:rFonts w:ascii="Times New Roman" w:cs="Times New Roman" w:eastAsia="Times New Roman" w:hAnsi="Times New Roman"/>
          <w:sz w:val="18"/>
          <w:szCs w:val="18"/>
          <w:color w:val="auto"/>
        </w:rPr>
      </w:pPr>
    </w:p>
    <w:p>
      <w:pPr>
        <w:ind w:left="940" w:right="440" w:hanging="288"/>
        <w:spacing w:after="0" w:line="265" w:lineRule="auto"/>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9"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our future product candidates, or competing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6" w:lineRule="exact"/>
        <w:rPr>
          <w:rFonts w:ascii="Times New Roman" w:cs="Times New Roman" w:eastAsia="Times New Roman" w:hAnsi="Times New Roman"/>
          <w:sz w:val="18"/>
          <w:szCs w:val="18"/>
          <w:color w:val="auto"/>
        </w:rPr>
      </w:pPr>
    </w:p>
    <w:p>
      <w:pPr>
        <w:ind w:left="940" w:right="280" w:hanging="288"/>
        <w:spacing w:after="0" w:line="281" w:lineRule="auto"/>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our product candidates;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future product candidates, if approved, which may fluctuate significantly and be difficult to predict;</w:t>
      </w:r>
    </w:p>
    <w:p>
      <w:pPr>
        <w:spacing w:after="0" w:line="116" w:lineRule="exact"/>
        <w:rPr>
          <w:rFonts w:ascii="Times New Roman" w:cs="Times New Roman" w:eastAsia="Times New Roman" w:hAnsi="Times New Roman"/>
          <w:sz w:val="18"/>
          <w:szCs w:val="18"/>
          <w:color w:val="auto"/>
        </w:rPr>
      </w:pPr>
    </w:p>
    <w:p>
      <w:pPr>
        <w:ind w:left="940" w:right="160" w:hanging="288"/>
        <w:spacing w:after="0" w:line="281" w:lineRule="auto"/>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our product candidates;</w:t>
      </w:r>
    </w:p>
    <w:p>
      <w:pPr>
        <w:spacing w:after="0" w:line="54" w:lineRule="exact"/>
        <w:rPr>
          <w:rFonts w:ascii="Times New Roman" w:cs="Times New Roman" w:eastAsia="Times New Roman" w:hAnsi="Times New Roman"/>
          <w:sz w:val="18"/>
          <w:szCs w:val="18"/>
          <w:color w:val="auto"/>
        </w:rPr>
      </w:pPr>
    </w:p>
    <w:p>
      <w:pPr>
        <w:ind w:left="940" w:right="40" w:hanging="288"/>
        <w:spacing w:after="0" w:line="281" w:lineRule="auto"/>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approved, inside and outside of the United States, either independently or working with third parties;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future collaborations, licensing or other arrangements;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and political environment.</w:t>
      </w:r>
    </w:p>
    <w:p>
      <w:pPr>
        <w:spacing w:after="0" w:line="225"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Our corporate headquarters is located at 1 Research Way, Princeton, New Jersey 08540, where we lease a facility containing 50,581 square feet of office and laboratory space. The lease term extends through 2032, and has a five-year extension option.</w:t>
      </w:r>
    </w:p>
    <w:p>
      <w:pPr>
        <w:spacing w:after="0" w:line="163"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The Company leases a facility at 8 Clarke Drive, Cranbury, New Jersey 08512, containing 18,446 square feet of office and laboratory space pursuant to a lease agreement that expires in June 2022 with an option to renew on a month-to-month basis for up to one year. We also lease 6,297 square feet of laboratory space at 3000 Eastpark, South Brunswick, New Jersey 08512 pursuant to a lease that expires in July 2022 with an option to renew on a month-to-month basis for up to one year. In January 2022, the Company signed lease extensions for both leases through June 2023 and July 2023, respectively, with the option to terminate upon 120 days of written notice, with an increase in base rent as per the lease extension.</w:t>
      </w:r>
    </w:p>
    <w:p>
      <w:pPr>
        <w:spacing w:after="0" w:line="182"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Additionally, we lease 3,292 square feet of office space at 420 Bedford Drive, Lexington, Massachusetts 02420 pursuant to a lease that expires in August 2023, with an option to extend for an additional three years.</w:t>
      </w:r>
    </w:p>
    <w:p>
      <w:pPr>
        <w:spacing w:after="0" w:line="163" w:lineRule="exact"/>
        <w:rPr>
          <w:sz w:val="20"/>
          <w:szCs w:val="20"/>
          <w:color w:val="auto"/>
        </w:rPr>
      </w:pPr>
    </w:p>
    <w:p>
      <w:pPr>
        <w:ind w:right="180" w:firstLine="644"/>
        <w:spacing w:after="0" w:line="312" w:lineRule="auto"/>
        <w:rPr>
          <w:sz w:val="20"/>
          <w:szCs w:val="20"/>
          <w:color w:val="auto"/>
        </w:rPr>
      </w:pPr>
      <w:r>
        <w:rPr>
          <w:rFonts w:ascii="Times New Roman" w:cs="Times New Roman" w:eastAsia="Times New Roman" w:hAnsi="Times New Roman"/>
          <w:sz w:val="17"/>
          <w:szCs w:val="17"/>
          <w:color w:val="auto"/>
        </w:rPr>
        <w:t>We believe that our current facilities are suitable and adequate for our current and near term conduct of our business operations and that suitable additional or substitute space at commercially reasonable terms will be available as needed to accommodate any future expansion of our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As of February 28, 2023, we were not a party to any legal matters or claims that, in the opinion of management, are likely to have a material effect on our business. In the future, we may become party to legal matters and claims in the ordinary course of business, the resolution of which we do not anticipate would have a material adverse impact on our financial position, results of operations or cash flows. Regardless of outcome, litigation, or other legal proceedings can have an adverse impact on us because of legal fees and settlement costs, diversion of management resources, and other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Reserved.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6" w:right="37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76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“PMVP” since September 25, 2020. Prior to that date there was no public trading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180" w:firstLine="644"/>
        <w:spacing w:after="0" w:line="260" w:lineRule="auto"/>
        <w:rPr>
          <w:sz w:val="20"/>
          <w:szCs w:val="20"/>
          <w:color w:val="auto"/>
        </w:rPr>
      </w:pPr>
      <w:r>
        <w:rPr>
          <w:rFonts w:ascii="Times New Roman" w:cs="Times New Roman" w:eastAsia="Times New Roman" w:hAnsi="Times New Roman"/>
          <w:sz w:val="18"/>
          <w:szCs w:val="18"/>
          <w:color w:val="auto"/>
        </w:rPr>
        <w:t>As of February 28, 2023, there were approximately six holders of record of our common stock. We believe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unregistered sales of our equity securities during the fiscal year ended December 31, 2022.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On September 24, 2020, our registration statement on Form S-1 (File No. 333-248627) relating to our IPO of common stock was declared effective by the SEC. The IPO closed on September 25, 2020 at which time we issued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None of the expenses associated with the IPO were paid to directors, officers, persons owning 10% or more of any class of equity securities, or to our affiliates. Goldman Sachs &amp; Co. LLC, BofA Securities, Cowen, and Evercore IS acted as joint book-running managers for the offering.</w:t>
      </w:r>
    </w:p>
    <w:p>
      <w:pPr>
        <w:spacing w:after="0" w:line="187" w:lineRule="exact"/>
        <w:rPr>
          <w:sz w:val="20"/>
          <w:szCs w:val="20"/>
          <w:color w:val="auto"/>
        </w:rPr>
      </w:pPr>
    </w:p>
    <w:p>
      <w:pPr>
        <w:ind w:right="80" w:firstLine="644"/>
        <w:spacing w:after="0" w:line="281"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163"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On October 4, 2021, our shelf registration statement on Form S-3 (File No. 333-260012) was automatically declared effective by the SEC for our future follow-on offering. The potential gross proceeds from this future offering are approximately $150.0 million. The company has not issued any shares of common stock pursuant to the offering. There has been no material change in the planned use of proceeds from the follow-on offering as described in the Form S-3 Registration Statement. None of the expenses associated with the follow-on offering were paid to directors, officers, persons owning 10% or more of any class of equity securities, or to our affiliates.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“Part I, Item 1A. Risk Factors” and in other parts of this Annual Report on Form 10-K.</w:t>
      </w:r>
    </w:p>
    <w:p>
      <w:pPr>
        <w:spacing w:after="0" w:line="165"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 xml:space="preserve">A discussion of our financial performance for the year ended December 31, 2022 as compared to the year ended December 31, 2021 appears below under the captions “Results of Operations” and “Liquidity and Capital Resources.” A discussion of our financial performance for the year ended December 31, 2021 compared to the year ended December 31, 2020 can be found in our Annual Report filed on Form 10-K, in the “Part II, Item 7, Management’s Discussion and Analysis of Financial Condition and Results of Operations”, under the same captions, filed with the SEC on March 1, 2022, which is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our Investor Relations website at </w:t>
      </w:r>
      <w:r>
        <w:rPr>
          <w:rFonts w:ascii="Times New Roman" w:cs="Times New Roman" w:eastAsia="Times New Roman" w:hAnsi="Times New Roman"/>
          <w:sz w:val="18"/>
          <w:szCs w:val="18"/>
          <w:i w:val="1"/>
          <w:iCs w:val="1"/>
          <w:color w:val="auto"/>
        </w:rPr>
        <w:t>ir.pmvpharma.com/financial-information/sec-filings</w:t>
      </w:r>
      <w:r>
        <w:rPr>
          <w:rFonts w:ascii="Times New Roman" w:cs="Times New Roman" w:eastAsia="Times New Roman" w:hAnsi="Times New Roman"/>
          <w:sz w:val="18"/>
          <w:szCs w:val="18"/>
          <w:color w:val="auto"/>
        </w:rPr>
        <w:t>. These website addresses are intended to be inactive, textual references only. None of the materials on, or accessible through, these websites are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report or are incorporated by reference herein.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are expanding the utilization of our platform to target other p53-related cancers.</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$73.3 million, $57.8 million, and $34.4 million for the years ended December 31, 2022, 2021, and 2020, respectively. As of December 31, 2022, we had an accumulated deficit of $241.0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June 2022, we presented our initial Phase 1 clinical data for PC14586.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7" w:name="page108"/>
    <w:bookmarkEnd w:id="107"/>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82" w:lineRule="exact"/>
        <w:rPr>
          <w:sz w:val="20"/>
          <w:szCs w:val="20"/>
          <w:color w:val="auto"/>
        </w:rPr>
      </w:pPr>
    </w:p>
    <w:p>
      <w:pPr>
        <w:ind w:right="800" w:firstLine="644"/>
        <w:spacing w:after="0" w:line="265"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40" w:firstLine="644"/>
        <w:spacing w:after="0" w:line="260"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40" w:firstLine="644"/>
        <w:spacing w:after="0" w:line="260"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18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June 2022, we presented our initial Phase 1 clinical data for PC14586 at the 2022 ASCO Annual Meeting.</w:t>
      </w:r>
    </w:p>
    <w:p>
      <w:pPr>
        <w:spacing w:after="0" w:line="186"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have increased our headcount significantly to support our operations as a public company. We also expect to increase our general and administrative expenses as we advance our product candidates through preclinical research and development, manufacturing, clinical development, and commercialization.</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260" w:firstLine="644"/>
        <w:spacing w:after="0" w:line="28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380" w:type="dxa"/>
            <w:vAlign w:val="bottom"/>
          </w:tcPr>
          <w:p>
            <w:pPr>
              <w:spacing w:after="0"/>
              <w:rPr>
                <w:sz w:val="14"/>
                <w:szCs w:val="14"/>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5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24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Pr>
          <w:p>
            <w:pPr>
              <w:spacing w:after="0"/>
              <w:rPr>
                <w:sz w:val="20"/>
                <w:szCs w:val="20"/>
                <w:color w:val="auto"/>
              </w:rPr>
            </w:pPr>
          </w:p>
        </w:tc>
      </w:tr>
      <w:tr>
        <w:trPr>
          <w:trHeight w:val="247"/>
        </w:trPr>
        <w:tc>
          <w:tcPr>
            <w:tcW w:w="57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00" w:type="dxa"/>
            <w:vAlign w:val="bottom"/>
          </w:tcPr>
          <w:p>
            <w:pPr>
              <w:spacing w:after="0"/>
              <w:rPr>
                <w:sz w:val="20"/>
                <w:szCs w:val="20"/>
                <w:color w:val="auto"/>
              </w:rPr>
            </w:pPr>
          </w:p>
        </w:tc>
      </w:tr>
      <w:tr>
        <w:trPr>
          <w:trHeight w:val="236"/>
        </w:trPr>
        <w:tc>
          <w:tcPr>
            <w:tcW w:w="5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(58,293</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shd w:val="clear" w:color="auto" w:fill="CFF0FC"/>
          </w:tcPr>
          <w:p>
            <w:pPr>
              <w:spacing w:after="0"/>
              <w:rPr>
                <w:sz w:val="21"/>
                <w:szCs w:val="21"/>
                <w:color w:val="auto"/>
              </w:rPr>
            </w:pPr>
          </w:p>
        </w:tc>
      </w:tr>
      <w:tr>
        <w:trPr>
          <w:trHeight w:val="243"/>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r>
      <w:tr>
        <w:trPr>
          <w:trHeight w:val="236"/>
        </w:trPr>
        <w:tc>
          <w:tcPr>
            <w:tcW w:w="5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380" w:type="dxa"/>
            <w:vAlign w:val="bottom"/>
          </w:tcPr>
          <w:p>
            <w:pPr>
              <w:spacing w:after="0"/>
              <w:rPr>
                <w:sz w:val="20"/>
                <w:szCs w:val="20"/>
                <w:color w:val="auto"/>
              </w:rPr>
            </w:pP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(73,326 )</w:t>
            </w:r>
          </w:p>
        </w:tc>
        <w:tc>
          <w:tcPr>
            <w:tcW w:w="460" w:type="dxa"/>
            <w:vAlign w:val="bottom"/>
          </w:tcPr>
          <w:p>
            <w:pPr>
              <w:spacing w:after="0"/>
              <w:rPr>
                <w:sz w:val="20"/>
                <w:szCs w:val="20"/>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(57,823 )</w:t>
            </w:r>
          </w:p>
        </w:tc>
        <w:tc>
          <w:tcPr>
            <w:tcW w:w="3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(15,503 )</w:t>
            </w:r>
          </w:p>
        </w:tc>
      </w:tr>
      <w:tr>
        <w:trPr>
          <w:trHeight w:val="247"/>
        </w:trPr>
        <w:tc>
          <w:tcPr>
            <w:tcW w:w="5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(9 )</w:t>
            </w:r>
          </w:p>
        </w:tc>
        <w:tc>
          <w:tcPr>
            <w:tcW w:w="4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5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(73,317 )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(57,846 )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(15,471 )</w:t>
            </w: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-1454785</wp:posOffset>
            </wp:positionV>
            <wp:extent cx="7683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-1454785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-504825</wp:posOffset>
            </wp:positionV>
            <wp:extent cx="76835"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-504825</wp:posOffset>
            </wp:positionV>
            <wp:extent cx="6858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-187960</wp:posOffset>
            </wp:positionV>
            <wp:extent cx="7683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-187960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3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3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19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4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2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100" w:type="dxa"/>
            <w:vAlign w:val="bottom"/>
          </w:tcPr>
          <w:p>
            <w:pPr>
              <w:spacing w:after="0"/>
              <w:rPr>
                <w:sz w:val="20"/>
                <w:szCs w:val="20"/>
                <w:color w:val="auto"/>
              </w:rPr>
            </w:pPr>
          </w:p>
        </w:tc>
      </w:tr>
      <w:tr>
        <w:trPr>
          <w:trHeight w:val="247"/>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1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FF0FC"/>
          </w:tcPr>
          <w:p>
            <w:pPr>
              <w:spacing w:after="0"/>
              <w:rPr>
                <w:sz w:val="21"/>
                <w:szCs w:val="2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r>
      <w:tr>
        <w:trPr>
          <w:trHeight w:val="272"/>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CFF0FC"/>
            </w:tcBorders>
            <w:gridSpan w:val="2"/>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24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2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632"/>
        </w:trPr>
        <w:tc>
          <w:tcPr>
            <w:tcW w:w="37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-521970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-504825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-521970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-504825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were $52.0 million for the year ended December 31, 2022, compared to $36.5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The increase of $15.5 million was primarily due to the following:</w:t>
      </w:r>
    </w:p>
    <w:p>
      <w:pPr>
        <w:spacing w:after="0" w:line="98" w:lineRule="exact"/>
        <w:rPr>
          <w:sz w:val="20"/>
          <w:szCs w:val="20"/>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decrease in research expenses, largely driven by decreased contractual research organization costs focused on discovery research;</w:t>
      </w:r>
    </w:p>
    <w:p>
      <w:pPr>
        <w:spacing w:after="0" w:line="116" w:lineRule="exact"/>
        <w:rPr>
          <w:rFonts w:ascii="Times New Roman" w:cs="Times New Roman" w:eastAsia="Times New Roman" w:hAnsi="Times New Roman"/>
          <w:sz w:val="18"/>
          <w:szCs w:val="18"/>
          <w:color w:val="auto"/>
        </w:rPr>
      </w:pPr>
    </w:p>
    <w:p>
      <w:pPr>
        <w:ind w:left="940" w:right="240" w:hanging="288"/>
        <w:spacing w:after="0" w:line="281" w:lineRule="auto"/>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million increase in development expenses, primarily associated with increased effort advancing our lead compound PC14586 through the Phase 1/2 clinical trial; and</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increase in expenses for personnel related costs and stock-based compensation, primarily driven by increased headcount.</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were $25.1 million for the year ended December 31, 2022, compared to $21.8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The increase of $3.3 million was primarily due to the following:</w:t>
      </w:r>
    </w:p>
    <w:p>
      <w:pPr>
        <w:spacing w:after="0" w:line="98" w:lineRule="exact"/>
        <w:rPr>
          <w:sz w:val="20"/>
          <w:szCs w:val="20"/>
          <w:color w:val="auto"/>
        </w:rPr>
      </w:pPr>
    </w:p>
    <w:p>
      <w:pPr>
        <w:ind w:left="940" w:hanging="288"/>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increase in personnel related expenses due to increased headcount to build out general and administrative infrastructure; and</w:t>
      </w:r>
    </w:p>
    <w:p>
      <w:pPr>
        <w:spacing w:after="0" w:line="116" w:lineRule="exact"/>
        <w:rPr>
          <w:rFonts w:ascii="Times New Roman" w:cs="Times New Roman" w:eastAsia="Times New Roman" w:hAnsi="Times New Roman"/>
          <w:sz w:val="18"/>
          <w:szCs w:val="18"/>
          <w:color w:val="auto"/>
        </w:rPr>
      </w:pPr>
    </w:p>
    <w:p>
      <w:pPr>
        <w:ind w:left="940" w:right="20" w:hanging="288"/>
        <w:spacing w:after="0" w:line="281" w:lineRule="auto"/>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decrease in finance and legal support, $0.3 million decrease for directors and officers insurance, and a $1.4 million increase due to facility and equipment related costs for our new headquarters in Princeton, New Jersey.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$3.7 million for the year ended December 31, 2022, compared to $0.5 million for the year ended December 31, 2021. The increase of $3.2 million in 2022 is driven by increased interest rates from cash investments in marketable securities and U.S. treasuries and was partially offset by lower average balances in cash and investments in marketable securities.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700" w:type="dxa"/>
            <w:vAlign w:val="bottom"/>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8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108,297</w:t>
            </w:r>
          </w:p>
        </w:tc>
        <w:tc>
          <w:tcPr>
            <w:tcW w:w="8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172,467</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(64,170 )</w:t>
            </w:r>
          </w:p>
        </w:tc>
        <w:tc>
          <w:tcPr>
            <w:tcW w:w="0" w:type="dxa"/>
            <w:vAlign w:val="bottom"/>
          </w:tcPr>
          <w:p>
            <w:pPr>
              <w:spacing w:after="0"/>
              <w:rPr>
                <w:sz w:val="1"/>
                <w:szCs w:val="1"/>
                <w:color w:val="auto"/>
              </w:rPr>
            </w:pPr>
          </w:p>
        </w:tc>
      </w:tr>
      <w:tr>
        <w:trPr>
          <w:trHeight w:val="247"/>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7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132,757</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(14,416 )</w:t>
            </w: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7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243,549</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314,074</w:t>
            </w: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7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68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247,006</w:t>
            </w:r>
          </w:p>
        </w:tc>
        <w:tc>
          <w:tcPr>
            <w:tcW w:w="8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301,286</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(54,280 )</w:t>
            </w:r>
          </w:p>
        </w:tc>
        <w:tc>
          <w:tcPr>
            <w:tcW w:w="0" w:type="dxa"/>
            <w:vAlign w:val="bottom"/>
          </w:tcPr>
          <w:p>
            <w:pPr>
              <w:spacing w:after="0"/>
              <w:rPr>
                <w:sz w:val="1"/>
                <w:szCs w:val="1"/>
                <w:color w:val="auto"/>
              </w:rPr>
            </w:pPr>
          </w:p>
        </w:tc>
      </w:tr>
      <w:tr>
        <w:trPr>
          <w:trHeight w:val="247"/>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7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(1,387 )</w:t>
            </w:r>
          </w:p>
        </w:tc>
        <w:tc>
          <w:tcPr>
            <w:tcW w:w="0" w:type="dxa"/>
            <w:vAlign w:val="bottom"/>
          </w:tcPr>
          <w:p>
            <w:pPr>
              <w:spacing w:after="0"/>
              <w:rPr>
                <w:sz w:val="1"/>
                <w:szCs w:val="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working capital</w:t>
            </w:r>
          </w:p>
        </w:tc>
        <w:tc>
          <w:tcPr>
            <w:tcW w:w="170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236,174</w:t>
            </w:r>
          </w:p>
        </w:tc>
        <w:tc>
          <w:tcPr>
            <w:tcW w:w="24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289,067</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(52,893 )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-1326515</wp:posOffset>
            </wp:positionV>
            <wp:extent cx="245745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57450" cy="17970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-684530</wp:posOffset>
            </wp:positionV>
            <wp:extent cx="7683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-684530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negative cash flows from our operations. We have not yet commercialized any of our product candidates and we do not expect to generate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sales of any product candidates for several years, if at all. As of December 31, 2022, we had cash, cash equivalents, and marketable securities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$243.5 million and an accumulated deficit of $241.0 million. We have financed our operations primarily through issuances of our convertible preferred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July 2020, we sold an aggregate of 5,321,864 shares of our Series D convertible preferred stock to accredited investors, generating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$70.0 million. In September 2020, we completed an IPO of 13,529,750 shares of our common stock, which includes the exercise in full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of their option to purchase 1,764,750 additional shares of common stock, at a public offering price of $18.00 per share for aggregate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$243.5 million. We received $223.2 million in net proceeds after deducting underwriting discounts and commissions and other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payable by us. In October 2021, we filed a shelf registration statement on Form S-3, which may result in aggregate gross process of up to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We did not sell any shares pursuant to the shelf registration statement and did not receive any gross proceeds in fiscal year 2022.</w:t>
      </w: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220" w:firstLine="644"/>
        <w:spacing w:after="0" w:line="265"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77"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1 Research Way in Princeton, New Jersey. That lease term extends through 2032, has a five-year extension option, and is intended to replace our two existing facilities. Payments under this lease will total $19.9 million through May 2032. Amounts related to future lease payments under the 1 Research Way lease as of December 31, 2022, totaled $19.4 million, with $2.3 million to be paid within the next 12 months.</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6" w:lineRule="exact"/>
        <w:rPr>
          <w:sz w:val="20"/>
          <w:szCs w:val="20"/>
          <w:color w:val="auto"/>
        </w:rPr>
      </w:pPr>
    </w:p>
    <w:p>
      <w:pPr>
        <w:ind w:right="160" w:firstLine="644"/>
        <w:spacing w:after="0" w:line="265"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$241.0 million through December 31, 2022. We expect to incur substantial additional losses in the future as we expand our research and development activities.</w:t>
      </w:r>
    </w:p>
    <w:p>
      <w:pPr>
        <w:spacing w:after="0" w:line="177" w:lineRule="exact"/>
        <w:rPr>
          <w:sz w:val="20"/>
          <w:szCs w:val="20"/>
          <w:color w:val="auto"/>
        </w:rPr>
      </w:pPr>
    </w:p>
    <w:p>
      <w:pPr>
        <w:jc w:val="both"/>
        <w:ind w:right="60" w:firstLine="644"/>
        <w:spacing w:after="0" w:line="265" w:lineRule="auto"/>
        <w:rPr>
          <w:sz w:val="20"/>
          <w:szCs w:val="20"/>
          <w:color w:val="auto"/>
        </w:rPr>
      </w:pPr>
      <w:r>
        <w:rPr>
          <w:rFonts w:ascii="Times New Roman" w:cs="Times New Roman" w:eastAsia="Times New Roman" w:hAnsi="Times New Roman"/>
          <w:sz w:val="18"/>
          <w:szCs w:val="18"/>
          <w:color w:val="auto"/>
        </w:rPr>
        <w:t>Our cash operating expenditures were $63.8 million in 2022 and $46.6 million in 2021, and we expect to increase our investment in operations in 2023. Based on our research and development plans, we expect that our cash balances as of December 31, 2022 will be sufficient to fund our operations at least through 2024.</w:t>
      </w:r>
    </w:p>
    <w:p>
      <w:pPr>
        <w:spacing w:after="0" w:line="17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40" w:hanging="288"/>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6" w:lineRule="exact"/>
        <w:rPr>
          <w:rFonts w:ascii="Times New Roman" w:cs="Times New Roman" w:eastAsia="Times New Roman" w:hAnsi="Times New Roman"/>
          <w:sz w:val="18"/>
          <w:szCs w:val="18"/>
          <w:color w:val="auto"/>
        </w:rPr>
      </w:pPr>
    </w:p>
    <w:p>
      <w:pPr>
        <w:ind w:left="940" w:right="760" w:hanging="288"/>
        <w:spacing w:after="0" w:line="281" w:lineRule="auto"/>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6" w:lineRule="exact"/>
        <w:rPr>
          <w:rFonts w:ascii="Times New Roman" w:cs="Times New Roman" w:eastAsia="Times New Roman" w:hAnsi="Times New Roman"/>
          <w:sz w:val="18"/>
          <w:szCs w:val="18"/>
          <w:color w:val="auto"/>
        </w:rPr>
      </w:pPr>
    </w:p>
    <w:p>
      <w:pPr>
        <w:ind w:left="940" w:right="480" w:hanging="288"/>
        <w:spacing w:after="0" w:line="281" w:lineRule="auto"/>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build out our new office and laboratory headquarters, enhance operational systems and hire additional personnel, including personnel to support development of our product candidates and satisfy our obligations as a public company.</w:t>
      </w:r>
    </w:p>
    <w:p>
      <w:pPr>
        <w:spacing w:after="0" w:line="163"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(46,571</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1020" w:type="dxa"/>
            <w:vAlign w:val="bottom"/>
          </w:tcPr>
          <w:p>
            <w:pPr>
              <w:spacing w:after="0"/>
              <w:rPr>
                <w:sz w:val="20"/>
                <w:szCs w:val="20"/>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(1,368 )</w:t>
            </w:r>
          </w:p>
        </w:tc>
        <w:tc>
          <w:tcPr>
            <w:tcW w:w="220" w:type="dxa"/>
            <w:vAlign w:val="bottom"/>
          </w:tcPr>
          <w:p>
            <w:pPr>
              <w:spacing w:after="0"/>
              <w:rPr>
                <w:sz w:val="20"/>
                <w:szCs w:val="20"/>
                <w:color w:val="auto"/>
              </w:rPr>
            </w:pPr>
          </w:p>
        </w:tc>
        <w:tc>
          <w:tcPr>
            <w:tcW w:w="16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(143,584 )</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27,911</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(64,170 )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(188,133 )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288,144</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-187960</wp:posOffset>
            </wp:positionV>
            <wp:extent cx="76835"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80" w:firstLine="64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$63.8 million, which consisted primarily of net loss of $73.3 million decreased by non-cash charges of $10.1 million and a net change of $0.6 million in our net operating assets. The non-cash charges primarily consisted of stock-based compensation of $10.2 million, depreciation of $0.3 million, and non-cash lease expense of $0.3 million, partially offset by changes in premiums on marketable securities of $0.6 million. The change in our net operating assets and liabilities was primarily due to an increase in prepaid expenses and other assets, an decrease in accrued expenses, and a decrease in outstanding payables.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2" w:name="page113"/>
    <w:bookmarkEnd w:id="112"/>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$46.6 million, which consisted primarily of net loss of $57.8 million decreased by non-cash charges of $7.2 million and a net change of $4.1 million in our net operating assets. The non-cash charges primarily consisted of stock-based compensation of $5.3 million, amortization of premiums on marketable securities and depreciation of $0.9 million, and non-cash lease expense of $1.0 million. The change in our net operating assets and liabilities was primarily due to a decrease in prepaid expenses and other assets, an increase in accrued expenses, and an increase in outstanding payables.</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Our investing activities used $1.4 million of cash during the year ended December 31, 2022, which consisted primarily of purchases of marketable securities of $229.2 million, along with purchase of property and equipment of $8.0 million, partially offset by maturities of marketable securities of $235.8 million.</w:t>
      </w:r>
    </w:p>
    <w:p>
      <w:pPr>
        <w:spacing w:after="0" w:line="177" w:lineRule="exact"/>
        <w:rPr>
          <w:sz w:val="20"/>
          <w:szCs w:val="20"/>
          <w:color w:val="auto"/>
        </w:rPr>
      </w:pPr>
    </w:p>
    <w:p>
      <w:pPr>
        <w:jc w:val="both"/>
        <w:ind w:right="660" w:firstLine="644"/>
        <w:spacing w:after="0" w:line="265" w:lineRule="auto"/>
        <w:rPr>
          <w:sz w:val="20"/>
          <w:szCs w:val="20"/>
          <w:color w:val="auto"/>
        </w:rPr>
      </w:pPr>
      <w:r>
        <w:rPr>
          <w:rFonts w:ascii="Times New Roman" w:cs="Times New Roman" w:eastAsia="Times New Roman" w:hAnsi="Times New Roman"/>
          <w:sz w:val="18"/>
          <w:szCs w:val="18"/>
          <w:color w:val="auto"/>
        </w:rPr>
        <w:t>Our investing activities used $143.6 million of cash during the year ended December 31, 2021, which consisted primarily of purchases of marketable securities of $256.8 million, along with purchase of property and equipment of $1.3 million partially offset by maturities of marketable securities of $114.6 million.</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00" w:firstLine="644"/>
        <w:spacing w:after="0" w:line="281" w:lineRule="auto"/>
        <w:rPr>
          <w:sz w:val="20"/>
          <w:szCs w:val="20"/>
          <w:color w:val="auto"/>
        </w:rPr>
      </w:pPr>
      <w:r>
        <w:rPr>
          <w:rFonts w:ascii="Times New Roman" w:cs="Times New Roman" w:eastAsia="Times New Roman" w:hAnsi="Times New Roman"/>
          <w:sz w:val="18"/>
          <w:szCs w:val="18"/>
          <w:color w:val="auto"/>
        </w:rPr>
        <w:t>Our financing activities provided $1.0 million of cash during the year ended December 31, 2022, which consisted primarily of common stock issued under the employee stock purchase plan and proceeds from the exercise of stock options.</w:t>
      </w:r>
    </w:p>
    <w:p>
      <w:pPr>
        <w:spacing w:after="0" w:line="163" w:lineRule="exact"/>
        <w:rPr>
          <w:sz w:val="20"/>
          <w:szCs w:val="20"/>
          <w:color w:val="auto"/>
        </w:rPr>
      </w:pPr>
    </w:p>
    <w:p>
      <w:pPr>
        <w:ind w:right="400" w:firstLine="644"/>
        <w:spacing w:after="0" w:line="281" w:lineRule="auto"/>
        <w:rPr>
          <w:sz w:val="20"/>
          <w:szCs w:val="20"/>
          <w:color w:val="auto"/>
        </w:rPr>
      </w:pPr>
      <w:r>
        <w:rPr>
          <w:rFonts w:ascii="Times New Roman" w:cs="Times New Roman" w:eastAsia="Times New Roman" w:hAnsi="Times New Roman"/>
          <w:sz w:val="18"/>
          <w:szCs w:val="18"/>
          <w:color w:val="auto"/>
        </w:rPr>
        <w:t>Our financing activities provided $2.0 million of cash during the year ended December 31, 2021, which consisted primarily of common stock issued under the employee stock purchase plan and proceeds from the exercise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and Estimates</w:t>
      </w:r>
    </w:p>
    <w:p>
      <w:pPr>
        <w:spacing w:after="0" w:line="121"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2"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3" w:name="page114"/>
    <w:bookmarkEnd w:id="113"/>
    <w:p>
      <w:pPr>
        <w:ind w:firstLine="644"/>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79" w:lineRule="exact"/>
        <w:rPr>
          <w:sz w:val="20"/>
          <w:szCs w:val="20"/>
          <w:color w:val="auto"/>
        </w:rPr>
      </w:pPr>
    </w:p>
    <w:p>
      <w:pPr>
        <w:ind w:left="940" w:hanging="288"/>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6"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225"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80" w:firstLine="644"/>
        <w:spacing w:after="0" w:line="260" w:lineRule="auto"/>
        <w:rPr>
          <w:sz w:val="20"/>
          <w:szCs w:val="20"/>
          <w:color w:val="auto"/>
        </w:rPr>
      </w:pPr>
      <w:r>
        <w:rPr>
          <w:rFonts w:ascii="Times New Roman" w:cs="Times New Roman" w:eastAsia="Times New Roman" w:hAnsi="Times New Roman"/>
          <w:sz w:val="18"/>
          <w:szCs w:val="18"/>
          <w:color w:val="auto"/>
        </w:rPr>
        <w:t>We measure all stock options and other stock-based awards granted to our employees, directors, consultants, and 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w:t>
      </w:r>
    </w:p>
    <w:p>
      <w:pPr>
        <w:spacing w:after="0" w:line="182" w:lineRule="exact"/>
        <w:rPr>
          <w:sz w:val="20"/>
          <w:szCs w:val="20"/>
          <w:color w:val="auto"/>
        </w:rPr>
      </w:pPr>
    </w:p>
    <w:p>
      <w:pPr>
        <w:ind w:right="80" w:firstLine="644"/>
        <w:spacing w:after="0" w:line="281" w:lineRule="auto"/>
        <w:rPr>
          <w:sz w:val="20"/>
          <w:szCs w:val="20"/>
          <w:color w:val="auto"/>
        </w:rPr>
      </w:pPr>
      <w:r>
        <w:rPr>
          <w:rFonts w:ascii="Times New Roman" w:cs="Times New Roman" w:eastAsia="Times New Roman" w:hAnsi="Times New Roman"/>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63" w:lineRule="exact"/>
        <w:rPr>
          <w:sz w:val="20"/>
          <w:szCs w:val="20"/>
          <w:color w:val="auto"/>
        </w:rPr>
      </w:pPr>
    </w:p>
    <w:p>
      <w:pPr>
        <w:ind w:right="300" w:firstLine="644"/>
        <w:spacing w:after="0" w:line="265" w:lineRule="auto"/>
        <w:rPr>
          <w:sz w:val="20"/>
          <w:szCs w:val="20"/>
          <w:color w:val="auto"/>
        </w:rPr>
      </w:pPr>
      <w:r>
        <w:rPr>
          <w:rFonts w:ascii="Times New Roman" w:cs="Times New Roman" w:eastAsia="Times New Roman" w:hAnsi="Times New Roman"/>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 as discussed below.</w:t>
      </w:r>
    </w:p>
    <w:p>
      <w:pPr>
        <w:spacing w:after="0" w:line="67" w:lineRule="exact"/>
        <w:rPr>
          <w:sz w:val="20"/>
          <w:szCs w:val="20"/>
          <w:color w:val="auto"/>
        </w:rPr>
      </w:pPr>
    </w:p>
    <w:p>
      <w:pPr>
        <w:ind w:left="940" w:right="140" w:hanging="288"/>
        <w:spacing w:after="0" w:line="261" w:lineRule="auto"/>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stock-based awards are expected to be outstanding. As we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historical experience for determining the expected term of the stock option awards granted, we based our expected term for awards issued to employees and non-employees using the simplified method which is presumed to be the midpoint between the vesting date and the end of the contracted term.</w:t>
      </w:r>
    </w:p>
    <w:p>
      <w:pPr>
        <w:spacing w:after="0" w:line="70" w:lineRule="exact"/>
        <w:rPr>
          <w:rFonts w:ascii="Times New Roman" w:cs="Times New Roman" w:eastAsia="Times New Roman" w:hAnsi="Times New Roman"/>
          <w:sz w:val="18"/>
          <w:szCs w:val="18"/>
          <w:color w:val="auto"/>
        </w:rPr>
      </w:pPr>
    </w:p>
    <w:p>
      <w:pPr>
        <w:ind w:left="940" w:right="20" w:hanging="288"/>
        <w:spacing w:after="0" w:line="283" w:lineRule="auto"/>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constant maturity notes with terms approximately equal to the stock-based awards’ expected term.</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14" w:name="page115"/>
    <w:bookmarkEnd w:id="114"/>
    <w:p>
      <w:pPr>
        <w:ind w:left="940" w:hanging="288"/>
        <w:spacing w:after="0" w:line="267" w:lineRule="auto"/>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—Since we do not have adequate trading history of our common stock, the expected volatility was derived from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stock volatilities of the common stock of several public companies within the industry that we consider to be comparable to our business over a period equivalent to the expected term of the stock-based awards.</w:t>
      </w:r>
    </w:p>
    <w:p>
      <w:pPr>
        <w:spacing w:after="0" w:line="64" w:lineRule="exact"/>
        <w:rPr>
          <w:rFonts w:ascii="Times New Roman" w:cs="Times New Roman" w:eastAsia="Times New Roman" w:hAnsi="Times New Roman"/>
          <w:sz w:val="18"/>
          <w:szCs w:val="18"/>
          <w:color w:val="auto"/>
        </w:rPr>
      </w:pPr>
    </w:p>
    <w:p>
      <w:pPr>
        <w:ind w:left="940" w:hanging="288"/>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rate is zero as we have not paid and do not anticipate paying any dividends in the foreseeable future.</w:t>
      </w:r>
    </w:p>
    <w:p>
      <w:pPr>
        <w:spacing w:after="0" w:line="116" w:lineRule="exact"/>
        <w:rPr>
          <w:rFonts w:ascii="Times New Roman" w:cs="Times New Roman" w:eastAsia="Times New Roman" w:hAnsi="Times New Roman"/>
          <w:sz w:val="18"/>
          <w:szCs w:val="18"/>
          <w:color w:val="auto"/>
        </w:rPr>
      </w:pPr>
    </w:p>
    <w:p>
      <w:pPr>
        <w:ind w:left="940" w:right="360" w:hanging="288"/>
        <w:spacing w:after="0" w:line="283" w:lineRule="auto"/>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—Since our IPO, the fair value of shares of our common stock are measured by the stock price on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audited financial statements for the year ended December 31, 2022 included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15" w:name="page116"/>
    <w:bookmarkEnd w:id="11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Ernst &amp; Young LLP, Independent Registered Public Accounting Firm </w:t>
            </w:r>
            <w:r>
              <w:rPr>
                <w:rFonts w:ascii="Times New Roman" w:cs="Times New Roman" w:eastAsia="Times New Roman" w:hAnsi="Times New Roman"/>
                <w:sz w:val="18"/>
                <w:szCs w:val="18"/>
                <w:color w:val="000000"/>
              </w:rPr>
              <w:t>(PCAOB ID: 42)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31"/>
        </w:trPr>
        <w:tc>
          <w:tcPr>
            <w:tcW w:w="20" w:type="dxa"/>
            <w:vAlign w:val="bottom"/>
          </w:tcPr>
          <w:p>
            <w:pPr>
              <w:spacing w:after="0"/>
              <w:rPr>
                <w:sz w:val="24"/>
                <w:szCs w:val="24"/>
                <w:color w:val="auto"/>
              </w:rPr>
            </w:pPr>
          </w:p>
        </w:tc>
        <w:tc>
          <w:tcPr>
            <w:tcW w:w="5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Balance Sheets as of December 31, 2022 and 2021</w:t>
            </w:r>
          </w:p>
        </w:tc>
        <w:tc>
          <w:tcPr>
            <w:tcW w:w="46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0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Operations and Comprehensive Loss for the Years Ended December 31, 2022, 2021, and 2020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Convertible Preferred Stock and Stockholders’ Equity (Deficit) for the Years Ended December 31, 2022, 2021, and 2020</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31"/>
        </w:trPr>
        <w:tc>
          <w:tcPr>
            <w:tcW w:w="20" w:type="dxa"/>
            <w:vAlign w:val="bottom"/>
          </w:tcPr>
          <w:p>
            <w:pPr>
              <w:spacing w:after="0"/>
              <w:rPr>
                <w:sz w:val="24"/>
                <w:szCs w:val="24"/>
                <w:color w:val="auto"/>
              </w:rPr>
            </w:pPr>
          </w:p>
        </w:tc>
        <w:tc>
          <w:tcPr>
            <w:tcW w:w="10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2022, 2021, and 2020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31"/>
        </w:trPr>
        <w:tc>
          <w:tcPr>
            <w:tcW w:w="20" w:type="dxa"/>
            <w:vAlign w:val="bottom"/>
          </w:tcPr>
          <w:p>
            <w:pPr>
              <w:spacing w:after="0"/>
              <w:rPr>
                <w:sz w:val="24"/>
                <w:szCs w:val="24"/>
                <w:color w:val="auto"/>
              </w:rPr>
            </w:pPr>
          </w:p>
        </w:tc>
        <w:tc>
          <w:tcPr>
            <w:tcW w:w="2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3840" w:type="dxa"/>
            <w:vAlign w:val="bottom"/>
            <w:tcBorders>
              <w:top w:val="single" w:sz="8" w:color="0000FF"/>
            </w:tcBorders>
            <w:gridSpan w:val="3"/>
          </w:tcPr>
          <w:p>
            <w:pPr>
              <w:spacing w:after="0"/>
              <w:rPr>
                <w:sz w:val="24"/>
                <w:szCs w:val="24"/>
                <w:color w:val="auto"/>
              </w:rPr>
            </w:pPr>
          </w:p>
        </w:tc>
        <w:tc>
          <w:tcPr>
            <w:tcW w:w="432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681"/>
        </w:trPr>
        <w:tc>
          <w:tcPr>
            <w:tcW w:w="60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112</w:t>
            </w:r>
          </w:p>
        </w:tc>
        <w:tc>
          <w:tcPr>
            <w:tcW w:w="1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6" w:name="page117"/>
    <w:bookmarkEnd w:id="11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PMV Pharmaceuticals, Inc.</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PMV Pharmaceuticals, Inc. (the “Company”) as of December 31, 2022 and 2021, the related statements of operations and comprehensive loss, convertible preferred stock and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Research and Development Expenses</w:t>
      </w:r>
    </w:p>
    <w:p>
      <w:pPr>
        <w:sectPr>
          <w:pgSz w:w="11900" w:h="16838" w:orient="portrait"/>
          <w:cols w:equalWidth="0" w:num="1">
            <w:col w:w="11200"/>
          </w:cols>
          <w:pgMar w:left="320" w:top="657" w:right="379" w:bottom="1440" w:gutter="0" w:footer="0" w:header="0"/>
        </w:sectPr>
      </w:pPr>
    </w:p>
    <w:p>
      <w:pPr>
        <w:spacing w:after="0" w:line="253" w:lineRule="exact"/>
        <w:rPr>
          <w:sz w:val="20"/>
          <w:szCs w:val="20"/>
          <w:color w:val="auto"/>
        </w:rPr>
      </w:pPr>
    </w:p>
    <w:p>
      <w:pPr>
        <w:ind w:left="20"/>
        <w:spacing w:after="0" w:line="28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disclosed in Note 2 to the financial statements, the Company is required to estimate research and development expenses from its obligations under contracts and purchase orders with vendors, clinical research organizations, clinical manufacturing organizations and others and for clinical site agreements at each balance sheet date. The Company recorded accrued expenses for the research and development expenses, which are included in accrued expenses on the December 31, 2022 balance sheet, and prepaid research and development expenses, which are included in prepaid expenses and other current assets on the December 31, 2022 balance sheet. The amounts recorded for accrued research and development expenses and for the related prepaid expenses, within the aforementioned balance sheet captions, represent the Company’s estimate of the unpaid and prepaid research and development expenses based on the progress of the research and development services compared to the amounts paid for those services through December 31, 2022.</w:t>
      </w:r>
    </w:p>
    <w:p>
      <w:pPr>
        <w:spacing w:after="0" w:line="186" w:lineRule="exact"/>
        <w:rPr>
          <w:sz w:val="20"/>
          <w:szCs w:val="20"/>
          <w:color w:val="auto"/>
        </w:rPr>
      </w:pPr>
    </w:p>
    <w:p>
      <w:pPr>
        <w:sectPr>
          <w:pgSz w:w="11900" w:h="16838" w:orient="portrait"/>
          <w:cols w:equalWidth="0" w:num="2">
            <w:col w:w="1320" w:space="720"/>
            <w:col w:w="9160"/>
          </w:cols>
          <w:pgMar w:left="320" w:top="657" w:right="379" w:bottom="1440" w:gutter="0" w:footer="0" w:header="0"/>
          <w:type w:val="continuous"/>
        </w:sectPr>
      </w:pPr>
    </w:p>
    <w:p>
      <w:pPr>
        <w:ind w:left="2040" w:right="180"/>
        <w:spacing w:after="0" w:line="260" w:lineRule="auto"/>
        <w:rPr>
          <w:sz w:val="20"/>
          <w:szCs w:val="20"/>
          <w:color w:val="auto"/>
        </w:rPr>
      </w:pPr>
      <w:r>
        <w:rPr>
          <w:rFonts w:ascii="Times New Roman" w:cs="Times New Roman" w:eastAsia="Times New Roman" w:hAnsi="Times New Roman"/>
          <w:sz w:val="18"/>
          <w:szCs w:val="18"/>
          <w:color w:val="auto"/>
        </w:rPr>
        <w:t>Auditing the Company’s accrued research and development expenses and related prepaid expenses involved a high degree of subjectivity due to the estimation required by management in determining the progress to completion of services that have been performed that will be invoiced by the vendors, clinical research organizations and consultants and under clinical site agreements subsequent to the date that the financial statements are issued.</w:t>
      </w:r>
    </w:p>
    <w:p>
      <w:pPr>
        <w:sectPr>
          <w:pgSz w:w="11900" w:h="16838" w:orient="portrait"/>
          <w:cols w:equalWidth="0" w:num="1">
            <w:col w:w="11200"/>
          </w:cols>
          <w:pgMar w:left="320" w:top="657" w:right="379" w:bottom="1440" w:gutter="0" w:footer="0" w:header="0"/>
          <w:type w:val="continuous"/>
        </w:sectPr>
      </w:pPr>
    </w:p>
    <w:p>
      <w:pPr>
        <w:spacing w:after="0" w:line="207" w:lineRule="exact"/>
        <w:rPr>
          <w:sz w:val="20"/>
          <w:szCs w:val="20"/>
          <w:color w:val="auto"/>
        </w:rPr>
      </w:pPr>
    </w:p>
    <w:p>
      <w:pPr>
        <w:ind w:left="20"/>
        <w:spacing w:after="0" w:line="314"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test the research and development accruals and prepaid expenses, our audit procedures included, among others, reviewing a sample of agreements with the service providers to corroborate key financial and contractual terms, and testing the accuracy and completeness of the underlying data used in the accrual and prepaid expense computations. We also evaluated management’s estimates of the progress of a sample of research and development activities by making direct inquiries of the Company’s operations personnel that oversee the external research and development activities and obtaining information directly from a sample of service providers. Additionally, we assessed the historical accuracy of management’s estimates when evaluating the current period estimate. To evaluate the completeness of the accruals, we also examined subsequent invoices from the service providers and cash disbursements to the service providers, to the extent such invoices were received, or payments were made prior to the date that the financial statements were issued.</w:t>
      </w:r>
    </w:p>
    <w:p>
      <w:pPr>
        <w:spacing w:after="0" w:line="182" w:lineRule="exact"/>
        <w:rPr>
          <w:sz w:val="20"/>
          <w:szCs w:val="20"/>
          <w:color w:val="auto"/>
        </w:rPr>
      </w:pPr>
    </w:p>
    <w:p>
      <w:pPr>
        <w:sectPr>
          <w:pgSz w:w="11900" w:h="16838" w:orient="portrait"/>
          <w:cols w:equalWidth="0" w:num="2">
            <w:col w:w="1680" w:space="360"/>
            <w:col w:w="9160"/>
          </w:cols>
          <w:pgMar w:left="320" w:top="65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172,467</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132,757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124,696</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20"/>
                <w:szCs w:val="20"/>
                <w:color w:val="auto"/>
              </w:rPr>
            </w:pPr>
          </w:p>
        </w:tc>
      </w:tr>
      <w:tr>
        <w:trPr>
          <w:trHeight w:val="240"/>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301,286</w:t>
            </w: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00" w:type="dxa"/>
            <w:vAlign w:val="bottom"/>
          </w:tcPr>
          <w:p>
            <w:pPr>
              <w:spacing w:after="0"/>
              <w:rPr>
                <w:sz w:val="20"/>
                <w:szCs w:val="20"/>
                <w:color w:val="auto"/>
              </w:rPr>
            </w:pPr>
          </w:p>
        </w:tc>
      </w:tr>
      <w:tr>
        <w:trPr>
          <w:trHeight w:val="24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$0.00001 par value, 5,000,000 shares authorized as of</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2022 and December 31, 2021. No shares issued or</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2022 and December 31, 2021.</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$0.00001 par value, 1,000,000,000 shares authorized;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45,771,332 and 45,433,684 shares issued and outstanding at</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2022 and December 31, 2021, respectively.</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487,516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476,363</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(241,043 )</w:t>
            </w:r>
          </w:p>
        </w:tc>
        <w:tc>
          <w:tcPr>
            <w:tcW w:w="26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(167,726 )</w:t>
            </w:r>
          </w:p>
        </w:tc>
      </w:tr>
      <w:tr>
        <w:trPr>
          <w:trHeight w:val="24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(445 )</w:t>
            </w:r>
          </w:p>
        </w:tc>
        <w:tc>
          <w:tcPr>
            <w:tcW w:w="2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r>
      <w:tr>
        <w:trPr>
          <w:trHeight w:val="236"/>
        </w:trPr>
        <w:tc>
          <w:tcPr>
            <w:tcW w:w="7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246,028</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308,559</w:t>
            </w:r>
          </w:p>
        </w:tc>
        <w:tc>
          <w:tcPr>
            <w:tcW w:w="100" w:type="dxa"/>
            <w:vAlign w:val="bottom"/>
            <w:tcBorders>
              <w:top w:val="single" w:sz="8" w:color="CFF0FC"/>
            </w:tcBorders>
          </w:tcPr>
          <w:p>
            <w:pPr>
              <w:spacing w:after="0"/>
              <w:rPr>
                <w:sz w:val="20"/>
                <w:szCs w:val="20"/>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-3424555</wp:posOffset>
            </wp:positionV>
            <wp:extent cx="6858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-3424555</wp:posOffset>
            </wp:positionV>
            <wp:extent cx="6858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-2465070</wp:posOffset>
            </wp:positionV>
            <wp:extent cx="68580"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-2465070</wp:posOffset>
            </wp:positionV>
            <wp:extent cx="6858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-2148840</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2"/>
          </w:tcPr>
          <w:p>
            <w:pPr>
              <w:jc w:val="right"/>
              <w:ind w:right="57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5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34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r>
      <w:tr>
        <w:trPr>
          <w:trHeight w:val="187"/>
        </w:trPr>
        <w:tc>
          <w:tcPr>
            <w:tcW w:w="5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100" w:type="dxa"/>
            <w:vAlign w:val="bottom"/>
          </w:tcPr>
          <w:p>
            <w:pPr>
              <w:spacing w:after="0"/>
              <w:rPr>
                <w:sz w:val="20"/>
                <w:szCs w:val="20"/>
                <w:color w:val="auto"/>
              </w:rPr>
            </w:pPr>
          </w:p>
        </w:tc>
      </w:tr>
      <w:tr>
        <w:trPr>
          <w:trHeight w:val="243"/>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100" w:type="dxa"/>
            <w:vAlign w:val="bottom"/>
          </w:tcPr>
          <w:p>
            <w:pPr>
              <w:spacing w:after="0"/>
              <w:rPr>
                <w:sz w:val="20"/>
                <w:szCs w:val="20"/>
                <w:color w:val="auto"/>
              </w:rPr>
            </w:pPr>
          </w:p>
        </w:tc>
      </w:tr>
      <w:tr>
        <w:trPr>
          <w:trHeight w:val="240"/>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(58,293</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FF0FC"/>
          </w:tcPr>
          <w:p>
            <w:pPr>
              <w:spacing w:after="0"/>
              <w:rPr>
                <w:sz w:val="21"/>
                <w:szCs w:val="21"/>
                <w:color w:val="auto"/>
              </w:rPr>
            </w:pPr>
          </w:p>
        </w:tc>
      </w:tr>
      <w:tr>
        <w:trPr>
          <w:trHeight w:val="238"/>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36"/>
        </w:trPr>
        <w:tc>
          <w:tcPr>
            <w:tcW w:w="58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260" w:type="dxa"/>
            <w:vAlign w:val="bottom"/>
          </w:tcPr>
          <w:p>
            <w:pPr>
              <w:spacing w:after="0"/>
              <w:rPr>
                <w:sz w:val="20"/>
                <w:szCs w:val="20"/>
                <w:color w:val="auto"/>
              </w:rPr>
            </w:pP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(73,326 )</w:t>
            </w:r>
          </w:p>
        </w:tc>
        <w:tc>
          <w:tcPr>
            <w:tcW w:w="220" w:type="dxa"/>
            <w:vAlign w:val="bottom"/>
          </w:tcPr>
          <w:p>
            <w:pPr>
              <w:spacing w:after="0"/>
              <w:rPr>
                <w:sz w:val="20"/>
                <w:szCs w:val="20"/>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(57,823 )</w:t>
            </w: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(34,434 )</w:t>
            </w:r>
          </w:p>
        </w:tc>
      </w:tr>
      <w:tr>
        <w:trPr>
          <w:trHeight w:val="243"/>
        </w:trPr>
        <w:tc>
          <w:tcPr>
            <w:tcW w:w="5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20"/>
                <w:szCs w:val="20"/>
                <w:color w:val="auto"/>
              </w:rPr>
            </w:pP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(73,317 )</w:t>
            </w:r>
          </w:p>
        </w:tc>
        <w:tc>
          <w:tcPr>
            <w:tcW w:w="220" w:type="dxa"/>
            <w:vAlign w:val="bottom"/>
          </w:tcPr>
          <w:p>
            <w:pPr>
              <w:spacing w:after="0"/>
              <w:rPr>
                <w:sz w:val="20"/>
                <w:szCs w:val="20"/>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(57,846 )</w:t>
            </w: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(34,440 )</w:t>
            </w:r>
          </w:p>
        </w:tc>
      </w:tr>
      <w:tr>
        <w:trPr>
          <w:trHeight w:val="243"/>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(367 )</w:t>
            </w: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(78 )</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(73,684 )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(57,924 )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(34,437 )</w:t>
            </w: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45,594,824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45,137,656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14,364,475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-2074545</wp:posOffset>
            </wp:positionV>
            <wp:extent cx="7683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-2074545</wp:posOffset>
            </wp:positionV>
            <wp:extent cx="6858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-2074545</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-1123950</wp:posOffset>
            </wp:positionV>
            <wp:extent cx="76835"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-1123950</wp:posOffset>
            </wp:positionV>
            <wp:extent cx="6858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-1123950</wp:posOffset>
            </wp:positionV>
            <wp:extent cx="6858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-807085</wp:posOffset>
            </wp:positionV>
            <wp:extent cx="76835"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-807085</wp:posOffset>
            </wp:positionV>
            <wp:extent cx="6858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-807085</wp:posOffset>
            </wp:positionV>
            <wp:extent cx="6858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-490855</wp:posOffset>
            </wp:positionV>
            <wp:extent cx="7683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-490855</wp:posOffset>
            </wp:positionV>
            <wp:extent cx="685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318"/>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98"/>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1"/>
        </w:trPr>
        <w:tc>
          <w:tcPr>
            <w:tcW w:w="3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38"/>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158"/>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right="78"/>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21"/>
        </w:trPr>
        <w:tc>
          <w:tcPr>
            <w:tcW w:w="3900" w:type="dxa"/>
            <w:vAlign w:val="bottom"/>
          </w:tcPr>
          <w:p>
            <w:pPr>
              <w:spacing w:after="0"/>
              <w:rPr>
                <w:sz w:val="10"/>
                <w:szCs w:val="10"/>
                <w:color w:val="auto"/>
              </w:rPr>
            </w:pPr>
          </w:p>
        </w:tc>
        <w:tc>
          <w:tcPr>
            <w:tcW w:w="11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5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98"/>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98"/>
              <w:spacing w:after="0" w:line="122" w:lineRule="exact"/>
              <w:rPr>
                <w:sz w:val="20"/>
                <w:szCs w:val="20"/>
                <w:color w:val="auto"/>
              </w:rPr>
            </w:pPr>
            <w:r>
              <w:rPr>
                <w:rFonts w:ascii="Times New Roman" w:cs="Times New Roman" w:eastAsia="Times New Roman" w:hAnsi="Times New Roman"/>
                <w:sz w:val="11"/>
                <w:szCs w:val="11"/>
                <w:b w:val="1"/>
                <w:bCs w:val="1"/>
                <w:color w:val="auto"/>
                <w:w w:val="95"/>
              </w:rPr>
              <w:t>ve</w:t>
            </w:r>
          </w:p>
        </w:tc>
        <w:tc>
          <w:tcPr>
            <w:tcW w:w="920" w:type="dxa"/>
            <w:vAlign w:val="bottom"/>
            <w:gridSpan w:val="3"/>
          </w:tcPr>
          <w:p>
            <w:pPr>
              <w:jc w:val="right"/>
              <w:ind w:right="197"/>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0"/>
                <w:szCs w:val="10"/>
                <w:color w:val="auto"/>
              </w:rPr>
            </w:pPr>
          </w:p>
        </w:tc>
        <w:tc>
          <w:tcPr>
            <w:tcW w:w="720" w:type="dxa"/>
            <w:vAlign w:val="bottom"/>
            <w:gridSpan w:val="2"/>
          </w:tcPr>
          <w:p>
            <w:pPr>
              <w:jc w:val="center"/>
              <w:ind w:right="218"/>
              <w:spacing w:after="0" w:line="122" w:lineRule="exact"/>
              <w:rPr>
                <w:sz w:val="20"/>
                <w:szCs w:val="20"/>
                <w:color w:val="auto"/>
              </w:rPr>
            </w:pPr>
            <w:r>
              <w:rPr>
                <w:rFonts w:ascii="Times New Roman" w:cs="Times New Roman" w:eastAsia="Times New Roman" w:hAnsi="Times New Roman"/>
                <w:sz w:val="11"/>
                <w:szCs w:val="11"/>
                <w:b w:val="1"/>
                <w:bCs w:val="1"/>
                <w:color w:val="auto"/>
                <w:w w:val="94"/>
              </w:rPr>
              <w:t>Equity</w:t>
            </w:r>
          </w:p>
        </w:tc>
      </w:tr>
      <w:tr>
        <w:trPr>
          <w:trHeight w:val="146"/>
        </w:trPr>
        <w:tc>
          <w:tcPr>
            <w:tcW w:w="3900" w:type="dxa"/>
            <w:vAlign w:val="bottom"/>
          </w:tcPr>
          <w:p>
            <w:pPr>
              <w:spacing w:after="0"/>
              <w:rPr>
                <w:sz w:val="12"/>
                <w:szCs w:val="12"/>
                <w:color w:val="auto"/>
              </w:rPr>
            </w:pPr>
          </w:p>
        </w:tc>
        <w:tc>
          <w:tcPr>
            <w:tcW w:w="1880" w:type="dxa"/>
            <w:vAlign w:val="bottom"/>
            <w:tcBorders>
              <w:right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Pr>
          <w:p>
            <w:pPr>
              <w:spacing w:after="0"/>
              <w:rPr>
                <w:sz w:val="12"/>
                <w:szCs w:val="12"/>
                <w:color w:val="auto"/>
              </w:rPr>
            </w:pPr>
          </w:p>
        </w:tc>
        <w:tc>
          <w:tcPr>
            <w:tcW w:w="1420" w:type="dxa"/>
            <w:vAlign w:val="bottom"/>
            <w:gridSpan w:val="3"/>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98"/>
              <w:spacing w:after="0"/>
              <w:rPr>
                <w:sz w:val="20"/>
                <w:szCs w:val="20"/>
                <w:color w:val="auto"/>
              </w:rPr>
            </w:pPr>
            <w:r>
              <w:rPr>
                <w:rFonts w:ascii="Times New Roman" w:cs="Times New Roman" w:eastAsia="Times New Roman" w:hAnsi="Times New Roman"/>
                <w:sz w:val="11"/>
                <w:szCs w:val="11"/>
                <w:b w:val="1"/>
                <w:bCs w:val="1"/>
                <w:color w:val="auto"/>
              </w:rPr>
              <w:t>Loss</w:t>
            </w:r>
          </w:p>
        </w:tc>
        <w:tc>
          <w:tcPr>
            <w:tcW w:w="140" w:type="dxa"/>
            <w:vAlign w:val="bottom"/>
          </w:tcPr>
          <w:p>
            <w:pPr>
              <w:spacing w:after="0"/>
              <w:rPr>
                <w:sz w:val="12"/>
                <w:szCs w:val="12"/>
                <w:color w:val="auto"/>
              </w:rPr>
            </w:pPr>
          </w:p>
        </w:tc>
        <w:tc>
          <w:tcPr>
            <w:tcW w:w="780" w:type="dxa"/>
            <w:vAlign w:val="bottom"/>
            <w:gridSpan w:val="2"/>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2"/>
                <w:szCs w:val="12"/>
                <w:color w:val="auto"/>
              </w:rPr>
            </w:pPr>
          </w:p>
        </w:tc>
        <w:tc>
          <w:tcPr>
            <w:tcW w:w="720" w:type="dxa"/>
            <w:vAlign w:val="bottom"/>
            <w:gridSpan w:val="2"/>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w w:val="98"/>
              </w:rPr>
              <w:t>(Deficit)</w:t>
            </w:r>
          </w:p>
        </w:tc>
      </w:tr>
      <w:tr>
        <w:trPr>
          <w:trHeight w:val="163"/>
        </w:trPr>
        <w:tc>
          <w:tcPr>
            <w:tcW w:w="39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3900" w:type="dxa"/>
            <w:vAlign w:val="bottom"/>
            <w:tcBorders>
              <w:top w:val="single" w:sz="8" w:color="CFF0FC"/>
            </w:tcBorders>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Balances at December 31, 2019</w:t>
            </w:r>
          </w:p>
        </w:tc>
        <w:tc>
          <w:tcPr>
            <w:tcW w:w="7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22,866,246</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168,933</w:t>
            </w: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3,046,200</w:t>
            </w:r>
          </w:p>
        </w:tc>
        <w:tc>
          <w:tcPr>
            <w:tcW w:w="760" w:type="dxa"/>
            <w:vAlign w:val="bottom"/>
            <w:tcBorders>
              <w:top w:val="single" w:sz="8" w:color="CFF0FC"/>
            </w:tcBorders>
            <w:gridSpan w:val="2"/>
            <w:shd w:val="clear" w:color="auto" w:fill="CFF0FC"/>
          </w:tcPr>
          <w:p>
            <w:pPr>
              <w:jc w:val="right"/>
              <w:ind w:right="40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Borders>
              <w:top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(75,440</w:t>
            </w:r>
          </w:p>
        </w:tc>
        <w:tc>
          <w:tcPr>
            <w:tcW w:w="220" w:type="dxa"/>
            <w:vAlign w:val="bottom"/>
            <w:tcBorders>
              <w:top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(70,474</w:t>
            </w:r>
          </w:p>
        </w:tc>
        <w:tc>
          <w:tcPr>
            <w:tcW w:w="100" w:type="dxa"/>
            <w:vAlign w:val="bottom"/>
            <w:tcBorders>
              <w:top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r>
      <w:tr>
        <w:trPr>
          <w:trHeight w:val="124"/>
        </w:trPr>
        <w:tc>
          <w:tcPr>
            <w:tcW w:w="3900" w:type="dxa"/>
            <w:vAlign w:val="bottom"/>
            <w:tcBorders>
              <w:top w:val="single" w:sz="8" w:color="CFF0FC"/>
            </w:tcBorders>
          </w:tcPr>
          <w:p>
            <w:pPr>
              <w:ind w:left="20"/>
              <w:spacing w:after="0" w:line="124" w:lineRule="exact"/>
              <w:rPr>
                <w:sz w:val="20"/>
                <w:szCs w:val="20"/>
                <w:color w:val="auto"/>
              </w:rPr>
            </w:pPr>
            <w:r>
              <w:rPr>
                <w:rFonts w:ascii="Times New Roman" w:cs="Times New Roman" w:eastAsia="Times New Roman" w:hAnsi="Times New Roman"/>
                <w:sz w:val="13"/>
                <w:szCs w:val="13"/>
                <w:color w:val="auto"/>
              </w:rPr>
              <w:t>Issuance of Series D convertible preferred stock, net</w:t>
            </w: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CFF0FC"/>
              <w:right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65"/>
        </w:trPr>
        <w:tc>
          <w:tcPr>
            <w:tcW w:w="3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issuance costs of $208</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5,321,864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69,790</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r>
      <w:tr>
        <w:trPr>
          <w:trHeight w:val="131"/>
        </w:trPr>
        <w:tc>
          <w:tcPr>
            <w:tcW w:w="39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Conversion of convertible preferred stock to</w:t>
            </w:r>
          </w:p>
        </w:tc>
        <w:tc>
          <w:tcPr>
            <w:tcW w:w="7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(28,188,11</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28,188,11</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0 )</w:t>
            </w: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(238,723 )</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238,723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238,723</w:t>
            </w:r>
          </w:p>
        </w:tc>
        <w:tc>
          <w:tcPr>
            <w:tcW w:w="100" w:type="dxa"/>
            <w:vAlign w:val="bottom"/>
            <w:shd w:val="clear" w:color="auto" w:fill="CFF0FC"/>
          </w:tcPr>
          <w:p>
            <w:pPr>
              <w:spacing w:after="0"/>
              <w:rPr>
                <w:sz w:val="14"/>
                <w:szCs w:val="14"/>
                <w:color w:val="auto"/>
              </w:rPr>
            </w:pPr>
          </w:p>
        </w:tc>
      </w:tr>
      <w:tr>
        <w:trPr>
          <w:trHeight w:val="174"/>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warrants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9,688</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5"/>
                <w:szCs w:val="15"/>
                <w:color w:val="auto"/>
              </w:rPr>
            </w:pPr>
          </w:p>
        </w:tc>
      </w:tr>
      <w:tr>
        <w:trPr>
          <w:trHeight w:val="131"/>
        </w:trPr>
        <w:tc>
          <w:tcPr>
            <w:tcW w:w="39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 net of issuance costs of</w:t>
            </w: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13,529,75</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$20,359</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223,176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223,176</w:t>
            </w:r>
          </w:p>
        </w:tc>
        <w:tc>
          <w:tcPr>
            <w:tcW w:w="100" w:type="dxa"/>
            <w:vAlign w:val="bottom"/>
            <w:shd w:val="clear" w:color="auto" w:fill="CFF0FC"/>
          </w:tcPr>
          <w:p>
            <w:pPr>
              <w:spacing w:after="0"/>
              <w:rPr>
                <w:sz w:val="14"/>
                <w:szCs w:val="14"/>
                <w:color w:val="auto"/>
              </w:rPr>
            </w:pPr>
          </w:p>
        </w:tc>
      </w:tr>
      <w:tr>
        <w:trPr>
          <w:trHeight w:val="174"/>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r>
      <w:tr>
        <w:trPr>
          <w:trHeight w:val="16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shd w:val="clear" w:color="auto" w:fill="CFF0FC"/>
          </w:tcPr>
          <w:p>
            <w:pPr>
              <w:spacing w:after="0"/>
              <w:rPr>
                <w:sz w:val="14"/>
                <w:szCs w:val="14"/>
                <w:color w:val="auto"/>
              </w:rPr>
            </w:pPr>
          </w:p>
        </w:tc>
      </w:tr>
      <w:tr>
        <w:trPr>
          <w:trHeight w:val="174"/>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(34,440 )</w:t>
            </w:r>
          </w:p>
        </w:tc>
        <w:tc>
          <w:tcPr>
            <w:tcW w:w="120" w:type="dxa"/>
            <w:vAlign w:val="bottom"/>
          </w:tcPr>
          <w:p>
            <w:pPr>
              <w:spacing w:after="0"/>
              <w:rPr>
                <w:sz w:val="15"/>
                <w:szCs w:val="15"/>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(34,440 )</w:t>
            </w:r>
          </w:p>
        </w:tc>
      </w:tr>
      <w:tr>
        <w:trPr>
          <w:trHeight w:val="16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Unrealized gain on available for sale marketable securities</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r>
      <w:tr>
        <w:trPr>
          <w:trHeight w:val="124"/>
        </w:trPr>
        <w:tc>
          <w:tcPr>
            <w:tcW w:w="3900" w:type="dxa"/>
            <w:vAlign w:val="bottom"/>
            <w:tcBorders>
              <w:top w:val="single" w:sz="8" w:color="CFF0FC"/>
            </w:tcBorders>
          </w:tcPr>
          <w:p>
            <w:pPr>
              <w:ind w:left="20"/>
              <w:spacing w:after="0" w:line="124" w:lineRule="exact"/>
              <w:rPr>
                <w:sz w:val="20"/>
                <w:szCs w:val="20"/>
                <w:color w:val="auto"/>
              </w:rPr>
            </w:pPr>
            <w:r>
              <w:rPr>
                <w:rFonts w:ascii="Times New Roman" w:cs="Times New Roman" w:eastAsia="Times New Roman" w:hAnsi="Times New Roman"/>
                <w:sz w:val="13"/>
                <w:szCs w:val="13"/>
                <w:color w:val="auto"/>
              </w:rPr>
              <w:t>Balance at December 31, 2020</w:t>
            </w: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CFF0FC"/>
              <w:right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44,777,81</w:t>
            </w:r>
          </w:p>
        </w:tc>
        <w:tc>
          <w:tcPr>
            <w:tcW w:w="22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65"/>
        </w:trPr>
        <w:tc>
          <w:tcPr>
            <w:tcW w:w="39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gridSpan w:val="2"/>
          </w:tcPr>
          <w:p>
            <w:pPr>
              <w:jc w:val="right"/>
              <w:ind w:right="40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469,001</w:t>
            </w:r>
          </w:p>
        </w:tc>
        <w:tc>
          <w:tcPr>
            <w:tcW w:w="36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(109,880 )</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359,121</w:t>
            </w:r>
          </w:p>
        </w:tc>
        <w:tc>
          <w:tcPr>
            <w:tcW w:w="100" w:type="dxa"/>
            <w:vAlign w:val="bottom"/>
          </w:tcPr>
          <w:p>
            <w:pPr>
              <w:spacing w:after="0"/>
              <w:rPr>
                <w:sz w:val="14"/>
                <w:szCs w:val="14"/>
                <w:color w:val="auto"/>
              </w:rPr>
            </w:pPr>
          </w:p>
        </w:tc>
      </w:tr>
      <w:tr>
        <w:trPr>
          <w:trHeight w:val="15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common stock issued under the 2020 ESPP</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655,866</w:t>
            </w:r>
          </w:p>
        </w:tc>
        <w:tc>
          <w:tcPr>
            <w:tcW w:w="220" w:type="dxa"/>
            <w:vAlign w:val="bottom"/>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shd w:val="clear" w:color="auto" w:fill="CFF0FC"/>
          </w:tcPr>
          <w:p>
            <w:pPr>
              <w:spacing w:after="0"/>
              <w:rPr>
                <w:sz w:val="13"/>
                <w:szCs w:val="13"/>
                <w:color w:val="auto"/>
              </w:rPr>
            </w:pPr>
          </w:p>
        </w:tc>
      </w:tr>
      <w:tr>
        <w:trPr>
          <w:trHeight w:val="16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100" w:type="dxa"/>
            <w:vAlign w:val="bottom"/>
          </w:tcPr>
          <w:p>
            <w:pPr>
              <w:spacing w:after="0"/>
              <w:rPr>
                <w:sz w:val="14"/>
                <w:szCs w:val="14"/>
                <w:color w:val="auto"/>
              </w:rPr>
            </w:pPr>
          </w:p>
        </w:tc>
      </w:tr>
      <w:tr>
        <w:trPr>
          <w:trHeight w:val="162"/>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(57,846 )</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(57,846 )</w:t>
            </w:r>
          </w:p>
        </w:tc>
      </w:tr>
      <w:tr>
        <w:trPr>
          <w:trHeight w:val="16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loss on available for sale marketable securities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(78 )</w:t>
            </w:r>
          </w:p>
        </w:tc>
        <w:tc>
          <w:tcPr>
            <w:tcW w:w="140" w:type="dxa"/>
            <w:vAlign w:val="bottom"/>
          </w:tcPr>
          <w:p>
            <w:pPr>
              <w:spacing w:after="0"/>
              <w:rPr>
                <w:sz w:val="14"/>
                <w:szCs w:val="14"/>
                <w:color w:val="auto"/>
              </w:rPr>
            </w:pPr>
          </w:p>
        </w:tc>
        <w:tc>
          <w:tcPr>
            <w:tcW w:w="7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(78 )</w:t>
            </w:r>
          </w:p>
        </w:tc>
      </w:tr>
      <w:tr>
        <w:trPr>
          <w:trHeight w:val="124"/>
        </w:trPr>
        <w:tc>
          <w:tcPr>
            <w:tcW w:w="390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Balance at December 31, 2021</w:t>
            </w:r>
          </w:p>
        </w:tc>
        <w:tc>
          <w:tcPr>
            <w:tcW w:w="7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45,433,68</w:t>
            </w:r>
          </w:p>
        </w:tc>
        <w:tc>
          <w:tcPr>
            <w:tcW w:w="22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65"/>
        </w:trPr>
        <w:tc>
          <w:tcPr>
            <w:tcW w:w="39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476,363</w:t>
            </w:r>
          </w:p>
        </w:tc>
        <w:tc>
          <w:tcPr>
            <w:tcW w:w="220" w:type="dxa"/>
            <w:vAlign w:val="bottom"/>
            <w:gridSpan w:val="2"/>
            <w:shd w:val="clear" w:color="auto" w:fill="CFF0FC"/>
          </w:tcPr>
          <w:p>
            <w:pPr>
              <w:spacing w:after="0"/>
              <w:rPr>
                <w:sz w:val="14"/>
                <w:szCs w:val="14"/>
                <w:color w:val="auto"/>
              </w:rPr>
            </w:pPr>
          </w:p>
        </w:tc>
        <w:tc>
          <w:tcPr>
            <w:tcW w:w="1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(78 )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(167,726 )</w:t>
            </w: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308,559</w:t>
            </w:r>
          </w:p>
        </w:tc>
        <w:tc>
          <w:tcPr>
            <w:tcW w:w="100" w:type="dxa"/>
            <w:vAlign w:val="bottom"/>
            <w:shd w:val="clear" w:color="auto" w:fill="CFF0FC"/>
          </w:tcPr>
          <w:p>
            <w:pPr>
              <w:spacing w:after="0"/>
              <w:rPr>
                <w:sz w:val="14"/>
                <w:szCs w:val="14"/>
                <w:color w:val="auto"/>
              </w:rPr>
            </w:pPr>
          </w:p>
        </w:tc>
      </w:tr>
      <w:tr>
        <w:trPr>
          <w:trHeight w:val="157"/>
        </w:trPr>
        <w:tc>
          <w:tcPr>
            <w:tcW w:w="3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common stock issued under the 2020 ESPP</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right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337,648</w:t>
            </w:r>
          </w:p>
        </w:tc>
        <w:tc>
          <w:tcPr>
            <w:tcW w:w="220" w:type="dxa"/>
            <w:vAlign w:val="bottom"/>
            <w:tcBorders>
              <w:top w:val="single" w:sz="8" w:color="CFF0FC"/>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100" w:type="dxa"/>
            <w:vAlign w:val="bottom"/>
            <w:tcBorders>
              <w:top w:val="single" w:sz="8" w:color="CFF0FC"/>
            </w:tcBorders>
          </w:tcPr>
          <w:p>
            <w:pPr>
              <w:spacing w:after="0"/>
              <w:rPr>
                <w:sz w:val="13"/>
                <w:szCs w:val="13"/>
                <w:color w:val="auto"/>
              </w:rPr>
            </w:pPr>
          </w:p>
        </w:tc>
      </w:tr>
      <w:tr>
        <w:trPr>
          <w:trHeight w:val="162"/>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10,195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10,195</w:t>
            </w:r>
          </w:p>
        </w:tc>
        <w:tc>
          <w:tcPr>
            <w:tcW w:w="100" w:type="dxa"/>
            <w:vAlign w:val="bottom"/>
            <w:shd w:val="clear" w:color="auto" w:fill="CFF0FC"/>
          </w:tcPr>
          <w:p>
            <w:pPr>
              <w:spacing w:after="0"/>
              <w:rPr>
                <w:sz w:val="14"/>
                <w:szCs w:val="14"/>
                <w:color w:val="auto"/>
              </w:rPr>
            </w:pPr>
          </w:p>
        </w:tc>
      </w:tr>
      <w:tr>
        <w:trPr>
          <w:trHeight w:val="162"/>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(73,317 )</w:t>
            </w:r>
          </w:p>
        </w:tc>
        <w:tc>
          <w:tcPr>
            <w:tcW w:w="120" w:type="dxa"/>
            <w:vAlign w:val="bottom"/>
          </w:tcPr>
          <w:p>
            <w:pPr>
              <w:spacing w:after="0"/>
              <w:rPr>
                <w:sz w:val="14"/>
                <w:szCs w:val="14"/>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(73,317 )</w:t>
            </w:r>
          </w:p>
        </w:tc>
      </w:tr>
      <w:tr>
        <w:trPr>
          <w:trHeight w:val="162"/>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Unrealized loss on available for sale marketable securities</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(367 )</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(367 )</w:t>
            </w:r>
          </w:p>
        </w:tc>
      </w:tr>
      <w:tr>
        <w:trPr>
          <w:trHeight w:val="124"/>
        </w:trPr>
        <w:tc>
          <w:tcPr>
            <w:tcW w:w="3900" w:type="dxa"/>
            <w:vAlign w:val="bottom"/>
            <w:tcBorders>
              <w:top w:val="single" w:sz="8" w:color="CFF0FC"/>
            </w:tcBorders>
          </w:tcPr>
          <w:p>
            <w:pPr>
              <w:ind w:left="20"/>
              <w:spacing w:after="0" w:line="124" w:lineRule="exact"/>
              <w:rPr>
                <w:sz w:val="20"/>
                <w:szCs w:val="20"/>
                <w:color w:val="auto"/>
              </w:rPr>
            </w:pPr>
            <w:r>
              <w:rPr>
                <w:rFonts w:ascii="Times New Roman" w:cs="Times New Roman" w:eastAsia="Times New Roman" w:hAnsi="Times New Roman"/>
                <w:sz w:val="13"/>
                <w:szCs w:val="13"/>
                <w:color w:val="auto"/>
              </w:rPr>
              <w:t>Balance at December 31, 2022</w:t>
            </w: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CFF0FC"/>
              <w:right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45,771,33</w:t>
            </w:r>
          </w:p>
        </w:tc>
        <w:tc>
          <w:tcPr>
            <w:tcW w:w="22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65"/>
        </w:trPr>
        <w:tc>
          <w:tcPr>
            <w:tcW w:w="39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760" w:type="dxa"/>
            <w:vAlign w:val="bottom"/>
            <w:gridSpan w:val="2"/>
          </w:tcPr>
          <w:p>
            <w:pPr>
              <w:jc w:val="right"/>
              <w:ind w:right="40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487,516</w:t>
            </w:r>
          </w:p>
        </w:tc>
        <w:tc>
          <w:tcPr>
            <w:tcW w:w="36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(445 )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(241,043 )</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246,028</w:t>
            </w:r>
          </w:p>
        </w:tc>
        <w:tc>
          <w:tcPr>
            <w:tcW w:w="100" w:type="dxa"/>
            <w:vAlign w:val="bottom"/>
          </w:tcPr>
          <w:p>
            <w:pPr>
              <w:spacing w:after="0"/>
              <w:rPr>
                <w:sz w:val="14"/>
                <w:szCs w:val="14"/>
                <w:color w:val="auto"/>
              </w:rPr>
            </w:pPr>
          </w:p>
        </w:tc>
      </w:tr>
      <w:tr>
        <w:trPr>
          <w:trHeight w:val="20"/>
        </w:trPr>
        <w:tc>
          <w:tcPr>
            <w:tcW w:w="3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-2567940</wp:posOffset>
            </wp:positionV>
            <wp:extent cx="76835" cy="196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-2567940</wp:posOffset>
            </wp:positionV>
            <wp:extent cx="76835" cy="196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-2692400</wp:posOffset>
            </wp:positionV>
            <wp:extent cx="2983865" cy="3206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83865" cy="32067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-1454785</wp:posOffset>
            </wp:positionV>
            <wp:extent cx="7683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-1454785</wp:posOffset>
            </wp:positionV>
            <wp:extent cx="76835"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-1454785</wp:posOffset>
            </wp:positionV>
            <wp:extent cx="6858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-1454785</wp:posOffset>
            </wp:positionV>
            <wp:extent cx="68580"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-1454785</wp:posOffset>
            </wp:positionV>
            <wp:extent cx="68580"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-1454785</wp:posOffset>
            </wp:positionV>
            <wp:extent cx="68580"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-1454785</wp:posOffset>
            </wp:positionV>
            <wp:extent cx="68580"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-641350</wp:posOffset>
            </wp:positionV>
            <wp:extent cx="76835" cy="1111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-641350</wp:posOffset>
            </wp:positionV>
            <wp:extent cx="76835" cy="1111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-641350</wp:posOffset>
            </wp:positionV>
            <wp:extent cx="68580" cy="1111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-641350</wp:posOffset>
            </wp:positionV>
            <wp:extent cx="68580" cy="1111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-641350</wp:posOffset>
            </wp:positionV>
            <wp:extent cx="68580" cy="1111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-641350</wp:posOffset>
            </wp:positionV>
            <wp:extent cx="68580" cy="1111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-641350</wp:posOffset>
            </wp:positionV>
            <wp:extent cx="68580" cy="1111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1111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-222250</wp:posOffset>
            </wp:positionV>
            <wp:extent cx="76835" cy="2228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-222250</wp:posOffset>
            </wp:positionV>
            <wp:extent cx="76835" cy="222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-222250</wp:posOffset>
            </wp:positionV>
            <wp:extent cx="68580" cy="2228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-222250</wp:posOffset>
            </wp:positionV>
            <wp:extent cx="68580" cy="2228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-222250</wp:posOffset>
            </wp:positionV>
            <wp:extent cx="68580" cy="2228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-222250</wp:posOffset>
            </wp:positionV>
            <wp:extent cx="68580" cy="2228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-222250</wp:posOffset>
            </wp:positionV>
            <wp:extent cx="68580" cy="2228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2228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42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right"/>
              <w:ind w:right="48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460" w:type="dxa"/>
            <w:vAlign w:val="bottom"/>
            <w:gridSpan w:val="2"/>
          </w:tcPr>
          <w:p>
            <w:pPr>
              <w:jc w:val="center"/>
              <w:ind w:right="38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200" w:type="dxa"/>
            <w:vAlign w:val="bottom"/>
          </w:tcPr>
          <w:p>
            <w:pPr>
              <w:jc w:val="right"/>
              <w:ind w:right="19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(73,317 )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(57,846 )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(34,440 )</w:t>
            </w: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(accretion) of premiums on marketable securities</w:t>
            </w:r>
          </w:p>
        </w:tc>
        <w:tc>
          <w:tcPr>
            <w:tcW w:w="20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(628 )</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(92 )</w:t>
            </w:r>
          </w:p>
        </w:tc>
        <w:tc>
          <w:tcPr>
            <w:tcW w:w="20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(1,829 )</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(2,732 )</w:t>
            </w: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(389 )</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(1,230 )</w:t>
            </w:r>
          </w:p>
        </w:tc>
        <w:tc>
          <w:tcPr>
            <w:tcW w:w="0" w:type="dxa"/>
            <w:vAlign w:val="bottom"/>
          </w:tcPr>
          <w:p>
            <w:pPr>
              <w:spacing w:after="0"/>
              <w:rPr>
                <w:sz w:val="1"/>
                <w:szCs w:val="1"/>
                <w:color w:val="auto"/>
              </w:rPr>
            </w:pPr>
          </w:p>
        </w:tc>
      </w:tr>
      <w:tr>
        <w:trPr>
          <w:trHeight w:val="243"/>
        </w:trPr>
        <w:tc>
          <w:tcPr>
            <w:tcW w:w="6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(1,319 )</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(63,760 )</w:t>
            </w:r>
          </w:p>
        </w:tc>
        <w:tc>
          <w:tcPr>
            <w:tcW w:w="20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(46,571 )</w:t>
            </w:r>
          </w:p>
        </w:tc>
        <w:tc>
          <w:tcPr>
            <w:tcW w:w="2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(32,739 )</w:t>
            </w:r>
          </w:p>
        </w:tc>
        <w:tc>
          <w:tcPr>
            <w:tcW w:w="0" w:type="dxa"/>
            <w:vAlign w:val="bottom"/>
          </w:tcPr>
          <w:p>
            <w:pPr>
              <w:spacing w:after="0"/>
              <w:rPr>
                <w:sz w:val="1"/>
                <w:szCs w:val="1"/>
                <w:color w:val="auto"/>
              </w:rPr>
            </w:pPr>
          </w:p>
        </w:tc>
      </w:tr>
      <w:tr>
        <w:trPr>
          <w:trHeight w:val="24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(7,984 )</w:t>
            </w:r>
          </w:p>
        </w:tc>
        <w:tc>
          <w:tcPr>
            <w:tcW w:w="20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(1,349 )</w:t>
            </w:r>
          </w:p>
        </w:tc>
        <w:tc>
          <w:tcPr>
            <w:tcW w:w="2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(229,199 )</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(256,845 )</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(14,512 )</w:t>
            </w: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235,815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(143,584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convertible preferred stock, net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issuance costs</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common stock, net</w:t>
            </w:r>
          </w:p>
        </w:tc>
        <w:tc>
          <w:tcPr>
            <w:tcW w:w="20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 and common stock</w:t>
            </w:r>
          </w:p>
        </w:tc>
        <w:tc>
          <w:tcPr>
            <w:tcW w:w="20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under the 2020 ESPP</w:t>
            </w: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(64,170</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(188,133</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173,289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361,422</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109,119</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173,289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incentives used for leasehold improvements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financing activities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warrant liability to 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-3890010</wp:posOffset>
            </wp:positionV>
            <wp:extent cx="6858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-3890010</wp:posOffset>
            </wp:positionV>
            <wp:extent cx="6858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-3890010</wp:posOffset>
            </wp:positionV>
            <wp:extent cx="685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-2939415</wp:posOffset>
            </wp:positionV>
            <wp:extent cx="68580"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-2939415</wp:posOffset>
            </wp:positionV>
            <wp:extent cx="6858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162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-2049145</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-2049145</wp:posOffset>
            </wp:positionV>
            <wp:extent cx="685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-2049145</wp:posOffset>
            </wp:positionV>
            <wp:extent cx="6858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-1415415</wp:posOffset>
            </wp:positionV>
            <wp:extent cx="685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-1415415</wp:posOffset>
            </wp:positionV>
            <wp:extent cx="685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-1415415</wp:posOffset>
            </wp:positionV>
            <wp:extent cx="6858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2" w:lineRule="exact"/>
        <w:rPr>
          <w:sz w:val="20"/>
          <w:szCs w:val="20"/>
          <w:color w:val="auto"/>
        </w:rPr>
      </w:pPr>
    </w:p>
    <w:p>
      <w:pPr>
        <w:ind w:right="7960" w:firstLine="8"/>
        <w:spacing w:after="0" w:line="377" w:lineRule="auto"/>
        <w:tabs>
          <w:tab w:leader="none" w:pos="225"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Formation and Business of the Company Organization</w:t>
      </w:r>
    </w:p>
    <w:p>
      <w:pPr>
        <w:spacing w:after="0" w:line="1"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1 Research Way, Princeton, New Jersey.</w:t>
      </w:r>
    </w:p>
    <w:p>
      <w:pPr>
        <w:spacing w:after="0" w:line="182"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7"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On September 25, 2020, the Company completed an initial public offering (the “IPO”) of 13,529,750 shares of common stock, at a public offering price of $18.00 per share including the exercise in full by the underwriters of their option to purchase up to 1,764,750 additional shares of commons stock, for aggregate gross proceeds of $243,536 and its shares started trading on The Nasdaq Global Select Market under the ticker symbol “PMVP.” The Company received $223,176 in net proceeds after deducting underwriting discounts and commissions and other offering expenses payable by the Company. In connection with the closing of the IPO, all of the Company’s outstanding shares of convertible preferred stock automatically converted into 28,188,110 shares of common stock.</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year ended December 31, 2022,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incurred a net loss of $73,317 and used $63,760 of cash for operations. As of December 31, 2022, the Company had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$241,043. Cash, cash equivalents, and marketable securities were $243,549 as of December 31, 2022. Management expects to incur substantial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losses for the next several years and may need to obtain additional debt or equity financings in order to complete development of its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 regulatory approvals, launch and commercialize its products and continue research and development programs. The Company believes it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adequate cash, cash equivalents, and marketable securities to operate for at least the next twelve months from the date of issuance of these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 The accompanying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research and development costs, accrued research and development costs and related prepaid expenses, and the fair values of common stock, convertible preferred stock and stock-based compensation. Actual results could differ materially from those estimates.</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In September 2020, the Company’s board of directors and stockholders approved an amendment to the Company’s amended and restated certificate of incorporation to affect a 5.2651-for-1 reverse stock split of the Company’s common stock and convertible preferred stock, which was effected on September 24, 2020. The par value of the common stock and convertible preferred stock were not adjusted as a result of the reverse stock split. Accordingly, all common stock, convertible preferred stock, stock options, and related per share amounts in these financial statements have been retroactively adjusted for all periods presented to give effect to the reverse stock split.</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4" w:lineRule="exact"/>
        <w:rPr>
          <w:sz w:val="20"/>
          <w:szCs w:val="20"/>
          <w:color w:val="auto"/>
        </w:rPr>
      </w:pPr>
    </w:p>
    <w:p>
      <w:pPr>
        <w:ind w:left="940" w:right="360" w:hanging="288"/>
        <w:spacing w:after="0" w:line="281"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that reflect unadjusted quoted prices in active markets for identical assets or liabilities that the Company has the ability to access at the measurement date.</w:t>
      </w:r>
    </w:p>
    <w:p>
      <w:pPr>
        <w:spacing w:after="0" w:line="54" w:lineRule="exact"/>
        <w:rPr>
          <w:rFonts w:ascii="Times New Roman" w:cs="Times New Roman" w:eastAsia="Times New Roman" w:hAnsi="Times New Roman"/>
          <w:sz w:val="18"/>
          <w:szCs w:val="18"/>
          <w:color w:val="auto"/>
        </w:rPr>
      </w:pPr>
    </w:p>
    <w:p>
      <w:pPr>
        <w:ind w:left="940" w:right="240" w:hanging="288"/>
        <w:spacing w:after="0" w:line="281"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including inputs in markets that are not considered to be active.</w:t>
      </w:r>
    </w:p>
    <w:p>
      <w:pPr>
        <w:spacing w:after="0" w:line="54" w:lineRule="exact"/>
        <w:rPr>
          <w:rFonts w:ascii="Times New Roman" w:cs="Times New Roman" w:eastAsia="Times New Roman" w:hAnsi="Times New Roman"/>
          <w:sz w:val="18"/>
          <w:szCs w:val="18"/>
          <w:color w:val="auto"/>
        </w:rPr>
      </w:pPr>
    </w:p>
    <w:p>
      <w:pPr>
        <w:ind w:left="940" w:right="380" w:hanging="288"/>
        <w:spacing w:after="0" w:line="281" w:lineRule="auto"/>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 which there is little or no market data available, which require the reporting entity to develop its own assumptions that are unobservable.</w:t>
      </w:r>
    </w:p>
    <w:p>
      <w:pPr>
        <w:spacing w:after="0" w:line="163" w:lineRule="exact"/>
        <w:rPr>
          <w:sz w:val="20"/>
          <w:szCs w:val="20"/>
          <w:color w:val="auto"/>
        </w:rPr>
      </w:pPr>
    </w:p>
    <w:p>
      <w:pPr>
        <w:jc w:val="both"/>
        <w:ind w:right="380" w:firstLine="644"/>
        <w:spacing w:after="0" w:line="265"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22"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years ended December 31, 2022, 2021, and 2020, the Company recorded $628 of accretion, $550 of amortization and $152 of amortization, respectively.</w:t>
      </w:r>
    </w:p>
    <w:p>
      <w:pPr>
        <w:spacing w:after="0" w:line="187" w:lineRule="exact"/>
        <w:rPr>
          <w:sz w:val="20"/>
          <w:szCs w:val="20"/>
          <w:color w:val="auto"/>
        </w:rPr>
      </w:pPr>
    </w:p>
    <w:p>
      <w:pPr>
        <w:ind w:right="140" w:firstLine="644"/>
        <w:spacing w:after="0" w:line="281" w:lineRule="auto"/>
        <w:rPr>
          <w:sz w:val="20"/>
          <w:szCs w:val="20"/>
          <w:color w:val="auto"/>
        </w:rPr>
      </w:pPr>
      <w:r>
        <w:rPr>
          <w:rFonts w:ascii="Times New Roman" w:cs="Times New Roman" w:eastAsia="Times New Roman" w:hAnsi="Times New Roman"/>
          <w:sz w:val="18"/>
          <w:szCs w:val="18"/>
          <w:color w:val="auto"/>
        </w:rPr>
        <w:t>Restricted cash as of December 31, 2022 included a $822 deposit at the Company’s commercial bank underlying a stand-by letter of credit issued in favor of a landlord (See Note 6) and is classified in current assets.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Comprehensive Loss</w:t>
      </w:r>
    </w:p>
    <w:p>
      <w:pPr>
        <w:spacing w:after="0" w:line="121" w:lineRule="exact"/>
        <w:rPr>
          <w:sz w:val="20"/>
          <w:szCs w:val="20"/>
          <w:color w:val="auto"/>
        </w:rPr>
      </w:pPr>
    </w:p>
    <w:p>
      <w:pPr>
        <w:ind w:right="200" w:firstLine="644"/>
        <w:spacing w:after="0" w:line="281" w:lineRule="auto"/>
        <w:rPr>
          <w:sz w:val="20"/>
          <w:szCs w:val="20"/>
          <w:color w:val="auto"/>
        </w:rPr>
      </w:pPr>
      <w:r>
        <w:rPr>
          <w:rFonts w:ascii="Times New Roman" w:cs="Times New Roman" w:eastAsia="Times New Roman" w:hAnsi="Times New Roman"/>
          <w:sz w:val="18"/>
          <w:szCs w:val="18"/>
          <w:color w:val="auto"/>
        </w:rPr>
        <w:t>The Company presents comprehensive loss in a single statement within its financial statements. Other comprehensive loss consists of unrealized gains and losses on marketable securities, net of tax.</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Furthermore, the Company has elected the practical expedient to not separate lease and non-lease components by class of underlying asset for its existing leases. The Company’s only existing leases are for office and laboratory space.</w:t>
      </w:r>
    </w:p>
    <w:p>
      <w:pPr>
        <w:spacing w:after="0" w:line="187"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77" w:lineRule="exact"/>
        <w:rPr>
          <w:sz w:val="20"/>
          <w:szCs w:val="20"/>
          <w:color w:val="auto"/>
        </w:rPr>
      </w:pPr>
    </w:p>
    <w:p>
      <w:pPr>
        <w:ind w:right="160" w:firstLine="644"/>
        <w:spacing w:after="0" w:line="281"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163" w:lineRule="exact"/>
        <w:rPr>
          <w:sz w:val="20"/>
          <w:szCs w:val="20"/>
          <w:color w:val="auto"/>
        </w:rPr>
      </w:pPr>
    </w:p>
    <w:p>
      <w:pPr>
        <w:jc w:val="both"/>
        <w:ind w:right="260" w:firstLine="644"/>
        <w:spacing w:after="0" w:line="288" w:lineRule="auto"/>
        <w:rPr>
          <w:sz w:val="20"/>
          <w:szCs w:val="20"/>
          <w:color w:val="auto"/>
        </w:rPr>
      </w:pPr>
      <w:r>
        <w:rPr>
          <w:rFonts w:ascii="Times New Roman" w:cs="Times New Roman" w:eastAsia="Times New Roman" w:hAnsi="Times New Roman"/>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159"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2" w:lineRule="exact"/>
        <w:rPr>
          <w:sz w:val="20"/>
          <w:szCs w:val="20"/>
          <w:color w:val="auto"/>
        </w:rPr>
      </w:pPr>
    </w:p>
    <w:p>
      <w:pPr>
        <w:ind w:right="240" w:firstLine="644"/>
        <w:spacing w:after="0" w:line="232" w:lineRule="exact"/>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Property and equipment are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generally five years, except for leasehold improvements, which are amortized over the shorter of the useful life of the asset or the remaining term of the lease.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22" w:lineRule="exact"/>
        <w:rPr>
          <w:sz w:val="20"/>
          <w:szCs w:val="20"/>
          <w:color w:val="auto"/>
        </w:rPr>
      </w:pPr>
    </w:p>
    <w:p>
      <w:pPr>
        <w:ind w:right="120" w:firstLine="644"/>
        <w:spacing w:after="0" w:line="281" w:lineRule="auto"/>
        <w:rPr>
          <w:sz w:val="20"/>
          <w:szCs w:val="20"/>
          <w:color w:val="auto"/>
        </w:rPr>
      </w:pPr>
      <w:r>
        <w:rPr>
          <w:rFonts w:ascii="Times New Roman" w:cs="Times New Roman" w:eastAsia="Times New Roman" w:hAnsi="Times New Roman"/>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Long-lived assets,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 To date, the Company has not recorded any impairment losses on long-lived assets.</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All costs associated with research and development are expensed as incurred. 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 allocable portions of facility costs, such as rent, utilities, insurance, repairs and maintenance, depreciation, and general support services. The Company records accruals for estimated research and development expenses, comprising payments for work performed by third party vendors, clinical research organizations, clinical manufacturing organizations and others. Some of these vendors bill monthly based on actual services performed, while others bill periodically based upon achieving certain contractual milestones. For the latter, the Company accrues the expenses as goods or services are used or rendered. Research and development activities related to patient enrollment are accrued as patients enter and progress through the trial. In the event that the Company prepays fees, the Company records the prepayment as a prepaid asset and periodically evaluate the prepaid asset in conjunction with the related accrued research and development expenses.</w:t>
      </w:r>
    </w:p>
    <w:p>
      <w:pPr>
        <w:spacing w:after="0" w:line="27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-51435</wp:posOffset>
            </wp:positionV>
            <wp:extent cx="63500"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25" w:lineRule="exact"/>
        <w:rPr>
          <w:sz w:val="20"/>
          <w:szCs w:val="20"/>
          <w:color w:val="auto"/>
        </w:rPr>
      </w:pPr>
    </w:p>
    <w:p>
      <w:pPr>
        <w:ind w:right="60" w:firstLine="644"/>
        <w:spacing w:after="0" w:line="281" w:lineRule="auto"/>
        <w:rPr>
          <w:sz w:val="20"/>
          <w:szCs w:val="20"/>
          <w:color w:val="auto"/>
        </w:rPr>
      </w:pPr>
      <w:r>
        <w:rPr>
          <w:rFonts w:ascii="Times New Roman" w:cs="Times New Roman" w:eastAsia="Times New Roman" w:hAnsi="Times New Roman"/>
          <w:sz w:val="18"/>
          <w:szCs w:val="18"/>
          <w:color w:val="auto"/>
        </w:rPr>
        <w:t>The Company’s share-based compensation program allows for grants of stock options and restricted stock units. Grants are awarded to employees and non-employees, including directors.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6" w:name="page127"/>
    <w:bookmarkEnd w:id="1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20"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stock-based employee compensation arrangements in accordance with provisions of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718 requires the recognition of compensation expense, using a fair-value based 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is used to determine the fair value of restricted stock units and stock options.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option pricing model requires inputs based on certain subjective assumptions, including (i) the expected stock price volatility,</w:t>
      </w:r>
    </w:p>
    <w:p>
      <w:pPr>
        <w:spacing w:after="0" w:line="27" w:lineRule="exact"/>
        <w:rPr>
          <w:sz w:val="20"/>
          <w:szCs w:val="20"/>
          <w:color w:val="auto"/>
        </w:rPr>
      </w:pPr>
    </w:p>
    <w:p>
      <w:pPr>
        <w:ind w:right="20" w:firstLine="8"/>
        <w:spacing w:after="0" w:line="251" w:lineRule="auto"/>
        <w:tabs>
          <w:tab w:leader="none" w:pos="2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award, (iii) the risk-free interest rate and (iv) expected dividends. Due to the lack of a public market for the Company’s common stock until September 2020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91"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Prior to the Company’s IPO, 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considered the estimated fair value of the common stock as of the measurement date. Prior to the Initial Public Offering, the estimated fair value of the common stock was determined at each grant date based upon a variety of factors, including the illiquid nature of the common stock, arm’s-length sales of the Company’s capital stock (including convertible preferred stock), the effect of the rights and preferences of the preferred shareholders, and the prospects of a liquidity event. Other factors considered were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w:t>
      </w:r>
    </w:p>
    <w:p>
      <w:pPr>
        <w:spacing w:after="0" w:line="186" w:lineRule="exact"/>
        <w:rPr>
          <w:sz w:val="20"/>
          <w:szCs w:val="20"/>
          <w:color w:val="auto"/>
        </w:rPr>
      </w:pPr>
    </w:p>
    <w:p>
      <w:pPr>
        <w:ind w:right="220" w:firstLine="644"/>
        <w:spacing w:after="0" w:line="265" w:lineRule="auto"/>
        <w:rPr>
          <w:sz w:val="20"/>
          <w:szCs w:val="20"/>
          <w:color w:val="auto"/>
        </w:rPr>
      </w:pPr>
      <w:r>
        <w:rPr>
          <w:rFonts w:ascii="Times New Roman" w:cs="Times New Roman" w:eastAsia="Times New Roman" w:hAnsi="Times New Roman"/>
          <w:sz w:val="18"/>
          <w:szCs w:val="18"/>
          <w:color w:val="auto"/>
        </w:rPr>
        <w:t>The Company’s stock-based compensation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Operating Decision Maker to make decisions with respect to resource allocation and assessment of performance. To date, the Company has viewed its operations and manages its business as one operating and reporting segment.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7" w:name="page128"/>
    <w:bookmarkEnd w:id="1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 xml:space="preserve">Basic net loss per share is computed using the “two-class” method which includes the weighted average number of shares of common stock outstanding during the period and other securities that participate in dividends (a participating security). The Company’s convertible preferred stock are participating securities as defined by ASC 260-10,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During the periods where the Company incurs net losses, the Company allocates no loss to participating securities because these securities have no contractual obligation to share in the losses of the Company. Under the two-class method, basic net loss per share applicable to common stockholders is computed by dividing the net loss applicable to common stockholders by the weighted average number of common shares outstanding for the period. Diluted net loss per share is computed similar to basic net loss per share except that the denominator is increased to include the number of additional shares for the potential dilutive effects of a warrant, convertible preferred stock and stock options outstanding during the period calculated in accordance with the treasury stock method, or the two-class method, whichever is more dilutive. The Company allocates net earnings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(equal) basis to both common and preferred stockholders. Net losses are not allocated to preferred stockholders as they do not have an obligation to share in the Company’s net losses. For all periods presented, basic and diluted net loss per share are the same, as any additional share equivalents would be anti-dilutive.</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2022 and 2021, the Company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93"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 accounting policy, the Company recognizes accrued interest and penalties related to unrecognized tax benefits as a component of income tax.</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 Simplifying the Accounting for Income Taxes</w:t>
      </w:r>
      <w:r>
        <w:rPr>
          <w:rFonts w:ascii="Times New Roman" w:cs="Times New Roman" w:eastAsia="Times New Roman" w:hAnsi="Times New Roman"/>
          <w:sz w:val="18"/>
          <w:szCs w:val="18"/>
          <w:color w:val="auto"/>
        </w:rPr>
        <w:t>.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Company adopted this standard as of January 1, 2021. The adoption did not have a material impact on the Company’s financial statements.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jc w:val="both"/>
        <w:ind w:right="240" w:firstLine="64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cash equivalents and marketable securities. The Company maintains its cash, cash equivalents and marketable securities in accounts at high quality financial institutions. The Company has not experienced any credit losses and does not believe it is exposed to any significant credit risk on these funds. Cash and cash equivalents include a checking account and a money market account held at one financial institution. At times, such deposits may be in excess of insured limits. The Company has not experienced any losses on its deposits of cash and cash equivalents. The Company’s marketable debt securities are carried at fair value and include any unrealized gains and losses. Any investments with unrealized losses are considered to be temporarily impaired.</w:t>
      </w:r>
    </w:p>
    <w:p>
      <w:pPr>
        <w:spacing w:after="0" w:line="186" w:lineRule="exact"/>
        <w:rPr>
          <w:sz w:val="20"/>
          <w:szCs w:val="20"/>
          <w:color w:val="auto"/>
        </w:rPr>
      </w:pPr>
    </w:p>
    <w:p>
      <w:pPr>
        <w:ind w:right="160" w:firstLine="644"/>
        <w:spacing w:after="0" w:line="260"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82" w:lineRule="exact"/>
        <w:rPr>
          <w:sz w:val="20"/>
          <w:szCs w:val="20"/>
          <w:color w:val="auto"/>
        </w:rPr>
      </w:pPr>
    </w:p>
    <w:p>
      <w:pPr>
        <w:jc w:val="both"/>
        <w:ind w:right="300" w:firstLine="644"/>
        <w:spacing w:after="0" w:line="265"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Financial Instruments and Fair Value Measurements</w:t>
      </w:r>
    </w:p>
    <w:p>
      <w:pPr>
        <w:spacing w:after="0" w:line="121" w:lineRule="exact"/>
        <w:rPr>
          <w:sz w:val="20"/>
          <w:szCs w:val="20"/>
          <w:color w:val="auto"/>
        </w:rPr>
      </w:pPr>
    </w:p>
    <w:p>
      <w:pPr>
        <w:ind w:right="20" w:firstLine="644"/>
        <w:spacing w:after="0" w:line="312" w:lineRule="auto"/>
        <w:rPr>
          <w:sz w:val="20"/>
          <w:szCs w:val="20"/>
          <w:color w:val="auto"/>
        </w:rPr>
      </w:pPr>
      <w:r>
        <w:rPr>
          <w:rFonts w:ascii="Times New Roman" w:cs="Times New Roman" w:eastAsia="Times New Roman" w:hAnsi="Times New Roman"/>
          <w:sz w:val="17"/>
          <w:szCs w:val="17"/>
          <w:color w:val="auto"/>
        </w:rPr>
        <w:t>The Company’s financial instruments consist of money market funds, U.S. government debt securities and corporate debt securities. The following tables show the Company’s cash equivalents and available-for-sale securities’ carrying amounts and fair values as of December 31, 2022 and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As of December 31, 2022</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109"/>
              <w:spacing w:after="0" w:line="123"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49"/>
              <w:spacing w:after="0" w:line="123"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priced 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center"/>
              <w:ind w:left="93"/>
              <w:spacing w:after="0" w:line="135"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99"/>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observable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85"/>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40" w:type="dxa"/>
            <w:vAlign w:val="bottom"/>
          </w:tcPr>
          <w:p>
            <w:pPr>
              <w:spacing w:after="0"/>
              <w:rPr>
                <w:sz w:val="11"/>
                <w:szCs w:val="11"/>
                <w:color w:val="auto"/>
              </w:rPr>
            </w:pPr>
          </w:p>
        </w:tc>
        <w:tc>
          <w:tcPr>
            <w:tcW w:w="740" w:type="dxa"/>
            <w:vAlign w:val="bottom"/>
          </w:tcPr>
          <w:p>
            <w:pPr>
              <w:jc w:val="center"/>
              <w:ind w:left="93"/>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99"/>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220" w:type="dxa"/>
            <w:vAlign w:val="bottom"/>
          </w:tcPr>
          <w:p>
            <w:pPr>
              <w:spacing w:after="0"/>
              <w:rPr>
                <w:sz w:val="11"/>
                <w:szCs w:val="11"/>
                <w:color w:val="auto"/>
              </w:rPr>
            </w:pPr>
          </w:p>
        </w:tc>
        <w:tc>
          <w:tcPr>
            <w:tcW w:w="800" w:type="dxa"/>
            <w:vAlign w:val="bottom"/>
          </w:tcPr>
          <w:p>
            <w:pPr>
              <w:jc w:val="center"/>
              <w:ind w:right="145"/>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inputs</w:t>
            </w: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74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59"/>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4"/>
                <w:szCs w:val="14"/>
                <w:color w:val="auto"/>
              </w:rPr>
            </w:pPr>
          </w:p>
        </w:tc>
        <w:tc>
          <w:tcPr>
            <w:tcW w:w="80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100" w:type="dxa"/>
            <w:vAlign w:val="bottom"/>
          </w:tcPr>
          <w:p>
            <w:pPr>
              <w:spacing w:after="0"/>
              <w:rPr>
                <w:sz w:val="14"/>
                <w:szCs w:val="14"/>
                <w:color w:val="auto"/>
              </w:rPr>
            </w:pPr>
          </w:p>
        </w:tc>
      </w:tr>
      <w:tr>
        <w:trPr>
          <w:trHeight w:val="170"/>
        </w:trPr>
        <w:tc>
          <w:tcPr>
            <w:tcW w:w="20" w:type="dxa"/>
            <w:vAlign w:val="bottom"/>
            <w:shd w:val="clear" w:color="auto" w:fill="CFF0FC"/>
          </w:tcPr>
          <w:p>
            <w:pPr>
              <w:spacing w:after="0"/>
              <w:rPr>
                <w:sz w:val="14"/>
                <w:szCs w:val="14"/>
                <w:color w:val="auto"/>
              </w:rPr>
            </w:pPr>
          </w:p>
        </w:tc>
        <w:tc>
          <w:tcPr>
            <w:tcW w:w="252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6"/>
                <w:szCs w:val="16"/>
                <w:color w:val="auto"/>
              </w:rPr>
              <w:t>Financial assets</w:t>
            </w:r>
          </w:p>
        </w:tc>
        <w:tc>
          <w:tcPr>
            <w:tcW w:w="18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auto"/>
            </w:tcBorders>
            <w:shd w:val="clear" w:color="auto" w:fill="CFF0FC"/>
          </w:tcPr>
          <w:p>
            <w:pPr>
              <w:spacing w:after="0"/>
              <w:rPr>
                <w:sz w:val="2"/>
                <w:szCs w:val="2"/>
                <w:color w:val="auto"/>
              </w:rPr>
            </w:pPr>
          </w:p>
        </w:tc>
        <w:tc>
          <w:tcPr>
            <w:tcW w:w="15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106,861</w:t>
            </w:r>
          </w:p>
        </w:tc>
        <w:tc>
          <w:tcPr>
            <w:tcW w:w="980" w:type="dxa"/>
            <w:vAlign w:val="bottom"/>
            <w:gridSpan w:val="2"/>
          </w:tcPr>
          <w:p>
            <w:pPr>
              <w:jc w:val="right"/>
              <w:ind w:right="57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106,861</w:t>
            </w:r>
          </w:p>
        </w:tc>
        <w:tc>
          <w:tcPr>
            <w:tcW w:w="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106,861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securities</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103,755</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21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(185 )</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103,591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103,591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Government securities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(281 )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59"/>
        </w:trPr>
        <w:tc>
          <w:tcPr>
            <w:tcW w:w="20" w:type="dxa"/>
            <w:vAlign w:val="bottom"/>
            <w:tcBorders>
              <w:bottom w:val="single" w:sz="8" w:color="CFF0FC"/>
            </w:tcBorders>
            <w:shd w:val="clear" w:color="auto" w:fill="CFF0FC"/>
          </w:tcPr>
          <w:p>
            <w:pPr>
              <w:spacing w:after="0"/>
              <w:rPr>
                <w:sz w:val="22"/>
                <w:szCs w:val="22"/>
                <w:color w:val="auto"/>
              </w:rPr>
            </w:pPr>
          </w:p>
        </w:tc>
        <w:tc>
          <w:tcPr>
            <w:tcW w:w="252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financial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242,558</w:t>
            </w:r>
          </w:p>
        </w:tc>
        <w:tc>
          <w:tcPr>
            <w:tcW w:w="2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top w:val="single" w:sz="8" w:color="auto"/>
              <w:bottom w:val="single" w:sz="8" w:color="auto"/>
            </w:tcBorders>
            <w:shd w:val="clear" w:color="auto" w:fill="CFF0FC"/>
          </w:tcPr>
          <w:p>
            <w:pPr>
              <w:jc w:val="right"/>
              <w:ind w:right="573"/>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21</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242,113</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127,842</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114,271</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As of December 31, 2021</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109"/>
              <w:spacing w:after="0" w:line="123"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49"/>
              <w:spacing w:after="0" w:line="123"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Priced 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center"/>
              <w:ind w:left="93"/>
              <w:spacing w:after="0" w:line="135"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99"/>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85"/>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40" w:type="dxa"/>
            <w:vAlign w:val="bottom"/>
          </w:tcPr>
          <w:p>
            <w:pPr>
              <w:spacing w:after="0"/>
              <w:rPr>
                <w:sz w:val="11"/>
                <w:szCs w:val="11"/>
                <w:color w:val="auto"/>
              </w:rPr>
            </w:pPr>
          </w:p>
        </w:tc>
        <w:tc>
          <w:tcPr>
            <w:tcW w:w="740" w:type="dxa"/>
            <w:vAlign w:val="bottom"/>
          </w:tcPr>
          <w:p>
            <w:pPr>
              <w:jc w:val="center"/>
              <w:ind w:left="93"/>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99"/>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220" w:type="dxa"/>
            <w:vAlign w:val="bottom"/>
          </w:tcPr>
          <w:p>
            <w:pPr>
              <w:spacing w:after="0"/>
              <w:rPr>
                <w:sz w:val="11"/>
                <w:szCs w:val="11"/>
                <w:color w:val="auto"/>
              </w:rPr>
            </w:pPr>
          </w:p>
        </w:tc>
        <w:tc>
          <w:tcPr>
            <w:tcW w:w="800" w:type="dxa"/>
            <w:vAlign w:val="bottom"/>
          </w:tcPr>
          <w:p>
            <w:pPr>
              <w:jc w:val="center"/>
              <w:ind w:right="145"/>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28"/>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10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74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59"/>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4"/>
                <w:szCs w:val="14"/>
                <w:color w:val="auto"/>
              </w:rPr>
            </w:pPr>
          </w:p>
        </w:tc>
        <w:tc>
          <w:tcPr>
            <w:tcW w:w="80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5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Financial assets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20" w:type="dxa"/>
            <w:vAlign w:val="bottom"/>
            <w:shd w:val="clear" w:color="auto" w:fill="CFF0FC"/>
          </w:tcPr>
          <w:p>
            <w:pPr>
              <w:spacing w:after="0"/>
              <w:rPr>
                <w:sz w:val="19"/>
                <w:szCs w:val="19"/>
                <w:color w:val="auto"/>
              </w:rPr>
            </w:pPr>
          </w:p>
        </w:tc>
        <w:tc>
          <w:tcPr>
            <w:tcW w:w="2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40,960</w:t>
            </w:r>
          </w:p>
        </w:tc>
        <w:tc>
          <w:tcPr>
            <w:tcW w:w="980" w:type="dxa"/>
            <w:vAlign w:val="bottom"/>
            <w:gridSpan w:val="2"/>
            <w:shd w:val="clear" w:color="auto" w:fill="CFF0FC"/>
          </w:tcPr>
          <w:p>
            <w:pPr>
              <w:jc w:val="right"/>
              <w:ind w:right="57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40,960</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40,960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 securities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227,378</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2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Government securities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42,307</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(62 )</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9"/>
                <w:szCs w:val="19"/>
                <w:color w:val="auto"/>
              </w:rPr>
            </w:pPr>
          </w:p>
        </w:tc>
      </w:tr>
      <w:tr>
        <w:trPr>
          <w:trHeight w:val="23"/>
        </w:trPr>
        <w:tc>
          <w:tcPr>
            <w:tcW w:w="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financial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310,645</w:t>
            </w:r>
          </w:p>
        </w:tc>
        <w:tc>
          <w:tcPr>
            <w:tcW w:w="240" w:type="dxa"/>
            <w:vAlign w:val="bottom"/>
          </w:tcPr>
          <w:p>
            <w:pPr>
              <w:spacing w:after="0"/>
              <w:rPr>
                <w:sz w:val="19"/>
                <w:szCs w:val="19"/>
                <w:color w:val="auto"/>
              </w:rPr>
            </w:pPr>
          </w:p>
        </w:tc>
        <w:tc>
          <w:tcPr>
            <w:tcW w:w="740" w:type="dxa"/>
            <w:vAlign w:val="bottom"/>
          </w:tcPr>
          <w:p>
            <w:pPr>
              <w:jc w:val="right"/>
              <w:ind w:right="573"/>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(81 )</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310,567</w:t>
            </w:r>
          </w:p>
        </w:tc>
        <w:tc>
          <w:tcPr>
            <w:tcW w:w="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269,607</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-1523365</wp:posOffset>
            </wp:positionV>
            <wp:extent cx="4863465" cy="907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63465" cy="907415"/>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-179070</wp:posOffset>
            </wp:positionV>
            <wp:extent cx="76835"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-179070</wp:posOffset>
            </wp:positionV>
            <wp:extent cx="76835"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-179070</wp:posOffset>
            </wp:positionV>
            <wp:extent cx="6858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-179070</wp:posOffset>
            </wp:positionV>
            <wp:extent cx="6858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-179070</wp:posOffset>
            </wp:positionV>
            <wp:extent cx="68580"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-179070</wp:posOffset>
            </wp:positionV>
            <wp:extent cx="68580"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2" w:lineRule="exact"/>
        <w:rPr>
          <w:sz w:val="20"/>
          <w:szCs w:val="20"/>
          <w:color w:val="auto"/>
        </w:rPr>
      </w:pPr>
    </w:p>
    <w:p>
      <w:pPr>
        <w:ind w:right="260" w:firstLine="64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As of December 31, 2022, the Company had cash of $1,436 and cash equivalents, consisting of money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of $106,861. As of December 31, 2021, the Company had cash of $3,507 and cash equivalents of $168,960. Cash equivalents consisted of money market funds of $40,960 and corporate debt securities of $128,000.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178" w:lineRule="exact"/>
        <w:rPr>
          <w:sz w:val="20"/>
          <w:szCs w:val="20"/>
          <w:color w:val="auto"/>
        </w:rPr>
      </w:pPr>
    </w:p>
    <w:p>
      <w:pPr>
        <w:ind w:right="60" w:firstLine="64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$135,252 as of December 31, 2022, consisted of corporate debt securities of $103,591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debt securities of $31,661. There were $132,757 current marketable securities and $2,495 noncurrent marketable securities as of December 31, 2022. Marketable securities of $141,607 as of December 31, 2021, consisted of corporate debt securities of $99,362 and government debt securities of $42,245. There were $124,696 current marketable securities and $16,911 noncurrent marketable securities as of December 31, 2021.</w:t>
      </w:r>
    </w:p>
    <w:p>
      <w:pPr>
        <w:spacing w:after="0" w:line="179" w:lineRule="exact"/>
        <w:rPr>
          <w:sz w:val="20"/>
          <w:szCs w:val="20"/>
          <w:color w:val="auto"/>
        </w:rPr>
      </w:pPr>
    </w:p>
    <w:p>
      <w:pPr>
        <w:ind w:right="260" w:firstLine="644"/>
        <w:spacing w:after="0" w:line="281" w:lineRule="auto"/>
        <w:rPr>
          <w:sz w:val="20"/>
          <w:szCs w:val="20"/>
          <w:color w:val="auto"/>
        </w:rPr>
      </w:pPr>
      <w:r>
        <w:rPr>
          <w:rFonts w:ascii="Times New Roman" w:cs="Times New Roman" w:eastAsia="Times New Roman" w:hAnsi="Times New Roman"/>
          <w:sz w:val="18"/>
          <w:szCs w:val="18"/>
          <w:color w:val="auto"/>
        </w:rPr>
        <w:t>As of December 31, 2022 and 2021, aggregated gross unrealized losses of available-for-sale investments were not material, and accordingly, no allowance for credit losses was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CEEFF"/>
          </w:tcPr>
          <w:p>
            <w:pPr>
              <w:spacing w:after="0"/>
              <w:rPr>
                <w:sz w:val="20"/>
                <w:szCs w:val="20"/>
                <w:color w:val="auto"/>
              </w:rPr>
            </w:pPr>
          </w:p>
        </w:tc>
      </w:tr>
      <w:tr>
        <w:trPr>
          <w:trHeight w:val="23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4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r>
      <w:tr>
        <w:trPr>
          <w:trHeight w:val="23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r>
      <w:tr>
        <w:trPr>
          <w:trHeight w:val="24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not placed in service</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Pr>
          <w:p>
            <w:pPr>
              <w:spacing w:after="0"/>
              <w:rPr>
                <w:sz w:val="20"/>
                <w:szCs w:val="20"/>
                <w:color w:val="auto"/>
              </w:rPr>
            </w:pPr>
          </w:p>
        </w:tc>
      </w:tr>
      <w:tr>
        <w:trPr>
          <w:trHeight w:val="24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(2,184 )</w:t>
            </w:r>
          </w:p>
        </w:tc>
        <w:tc>
          <w:tcPr>
            <w:tcW w:w="5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(1,868 )</w:t>
            </w:r>
          </w:p>
        </w:tc>
      </w:tr>
      <w:tr>
        <w:trPr>
          <w:trHeight w:val="236"/>
        </w:trPr>
        <w:tc>
          <w:tcPr>
            <w:tcW w:w="7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220" w:type="dxa"/>
            <w:vAlign w:val="bottom"/>
            <w:tcBorders>
              <w:top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Borders>
              <w:top w:val="single" w:sz="8" w:color="CCEEFF"/>
            </w:tcBorders>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-504825</wp:posOffset>
            </wp:positionV>
            <wp:extent cx="68580"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-187960</wp:posOffset>
            </wp:positionV>
            <wp:extent cx="6858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2021, and 2020 was $315, $307, and $318, respectively.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shd w:val="clear" w:color="auto" w:fill="CCEEFF"/>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7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08" w:lineRule="exact"/>
        <w:rPr>
          <w:sz w:val="20"/>
          <w:szCs w:val="20"/>
          <w:color w:val="auto"/>
        </w:rPr>
      </w:pPr>
    </w:p>
    <w:p>
      <w:pPr>
        <w:ind w:left="660" w:right="8560" w:hanging="652"/>
        <w:spacing w:after="0" w:line="399" w:lineRule="auto"/>
        <w:tabs>
          <w:tab w:leader="none" w:pos="241" w:val="left"/>
        </w:tabs>
        <w:numPr>
          <w:ilvl w:val="0"/>
          <w:numId w:val="6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Operating Leases</w:t>
      </w:r>
    </w:p>
    <w:p>
      <w:pPr>
        <w:spacing w:after="0" w:line="1"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In June 2015, the Company executed a noncancelable operating lease for approximately 13,000 square feet of laboratory, research and development, and office space in Cranbury, New Jersey for an initial base rent of $20.00 per square foot. This location operates as the Company’s current headquarters.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22"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In June 2017, the Company obtained an additional noncancelable operating lease for about 6,000 square feet of laboratory space in the same corporate center at an initial rental rate at $22.00 per square foot. As a result of the additional space, both leases expired June 2022. In January 2022, the Company signed a lease extension for both leases for up to one additional year through June 2023, with the option to terminate upon 120 days of written notice, with an increase in base rent as per the lease extension. Both leases include a common area maintenance expense for $3.00 per square foot with an increase of 3% on the first month of each calendar year during the lease term and a management fee of 3% of the base rent. The Company is obligated to pay, on a pro-rata basis, real estate taxes and operating costs related to the premises.</w:t>
      </w:r>
    </w:p>
    <w:p>
      <w:pPr>
        <w:spacing w:after="0" w:line="186"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In August 2018, the Company executed two noncancelable operating leases. One lease for approximately 6,000 square feet for vivarium, laboratory and general office space in South Brunswick, New Jersey. The initial annual base rent is $15.50 per square foot and a management fee of 3% of the base rent. The Company is obligated to pay, on a pro-rata basis, insurance premiums, real estate taxes and operating costs related to the premises. The lease expired in July 2022. In January 2022, the Company signed a lease extension for up to one additional year through July 2023, with the option to terminate upon 120 days of written notice, with an increase in base rent as per the lease extension. The second lease is for office space in Lexington, Massachusetts, that expires August 2023, with an option to renew for a one-time, three-year extension. The initial annual base rent is $28.50 per square foot and will increase $1.00 per square foot at the end of each rent year.</w:t>
      </w:r>
    </w:p>
    <w:p>
      <w:pPr>
        <w:spacing w:after="0" w:line="187"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In 2018, the Company received a lease incentive for the buildout of 420 Bedford Street in Lexington, MA. The Company was given an allowance for $165 on behalf of the lessor for construction of office space. Management recognizes this allowance as a lease incentive in its Right-of-Use asset and straight-lines the allowance throughout the term of the lease. As of December 31, 2022, the remaining rent incentive pertaining to the Lexington, MA lease totaled $25.</w:t>
      </w:r>
    </w:p>
    <w:p>
      <w:pPr>
        <w:spacing w:after="0" w:line="182"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at 1 Research Way in Princeton, New Jersey. That lease term extends through 2032, has a five-year extension option, and is intended to replace the Company’s two existing facilities and the space is expected to become the Company’s future headquarters. Payment under this lease will total $19,889 through May 2032. The Company received a lease incentive of $4,046 from the lessor for a buildout of laboratory, vivarium, and office space, to be reimbursed to the Company in 2022 and 2023. Management estimated the timing and amounts of reimbursements and included them as a reduction of lease payments when initially measuring the lease liability and right-of-use asset upon commencement. As of December 31, 2022, $2,969 of reimbursements were received.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for the year ended December 31, 2022, and 2021,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r>
      <w:tr>
        <w:trPr>
          <w:trHeight w:val="169"/>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20"/>
                <w:szCs w:val="20"/>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r>
      <w:tr>
        <w:trPr>
          <w:trHeight w:val="276"/>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628"/>
        </w:trPr>
        <w:tc>
          <w:tcPr>
            <w:tcW w:w="3480" w:type="dxa"/>
            <w:vAlign w:val="bottom"/>
          </w:tcPr>
          <w:p>
            <w:pPr>
              <w:spacing w:after="0"/>
              <w:rPr>
                <w:sz w:val="24"/>
                <w:szCs w:val="24"/>
                <w:color w:val="auto"/>
              </w:rPr>
            </w:pPr>
          </w:p>
        </w:tc>
        <w:tc>
          <w:tcPr>
            <w:tcW w:w="422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127</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9"/>
                <w:szCs w:val="9"/>
                <w:color w:val="auto"/>
              </w:rPr>
            </w:pPr>
          </w:p>
        </w:tc>
        <w:tc>
          <w:tcPr>
            <w:tcW w:w="4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-521970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-504825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6" w:lineRule="exact"/>
        <w:rPr>
          <w:sz w:val="20"/>
          <w:szCs w:val="20"/>
          <w:color w:val="auto"/>
        </w:rPr>
      </w:pPr>
    </w:p>
    <w:p>
      <w:pPr>
        <w:ind w:right="720" w:firstLine="644"/>
        <w:spacing w:after="0" w:line="281" w:lineRule="auto"/>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December 31, 2022, and 2021, were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8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5.75 %</w:t>
            </w:r>
          </w:p>
        </w:tc>
        <w:tc>
          <w:tcPr>
            <w:tcW w:w="3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5.75 %</w:t>
            </w:r>
          </w:p>
        </w:tc>
      </w:tr>
    </w:tbl>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for the year ended December 31, 2022, and 2021,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(received) for amounts included in the measurement of lease liabilities</w:t>
            </w:r>
          </w:p>
        </w:tc>
        <w:tc>
          <w:tcPr>
            <w:tcW w:w="102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20"/>
                <w:szCs w:val="20"/>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or modified operating lease liabilities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right="680" w:firstLine="644"/>
        <w:spacing w:after="0" w:line="281" w:lineRule="auto"/>
        <w:rPr>
          <w:sz w:val="20"/>
          <w:szCs w:val="20"/>
          <w:color w:val="auto"/>
        </w:rPr>
      </w:pPr>
      <w:r>
        <w:rPr>
          <w:rFonts w:ascii="Times New Roman" w:cs="Times New Roman" w:eastAsia="Times New Roman" w:hAnsi="Times New Roman"/>
          <w:sz w:val="18"/>
          <w:szCs w:val="18"/>
          <w:color w:val="auto"/>
        </w:rPr>
        <w:t>Future minimum lease payments, net of reimbursements, remaining as of December 31, 2022 under operating leases by fiscal year were as follows,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21"/>
                <w:szCs w:val="21"/>
                <w:color w:val="auto"/>
              </w:rPr>
            </w:pPr>
          </w:p>
        </w:tc>
      </w:tr>
      <w:tr>
        <w:trPr>
          <w:trHeight w:val="238"/>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20"/>
                <w:szCs w:val="20"/>
                <w:color w:val="auto"/>
              </w:rPr>
            </w:pPr>
          </w:p>
        </w:tc>
      </w:tr>
      <w:tr>
        <w:trPr>
          <w:trHeight w:val="247"/>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21"/>
                <w:szCs w:val="21"/>
                <w:color w:val="auto"/>
              </w:rPr>
            </w:pPr>
          </w:p>
        </w:tc>
      </w:tr>
      <w:tr>
        <w:trPr>
          <w:trHeight w:val="238"/>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0"/>
                <w:szCs w:val="20"/>
                <w:color w:val="auto"/>
              </w:rPr>
            </w:pPr>
          </w:p>
        </w:tc>
      </w:tr>
      <w:tr>
        <w:trPr>
          <w:trHeight w:val="247"/>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21"/>
                <w:szCs w:val="21"/>
                <w:color w:val="auto"/>
              </w:rPr>
            </w:pPr>
          </w:p>
        </w:tc>
      </w:tr>
      <w:tr>
        <w:trPr>
          <w:trHeight w:val="238"/>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00" w:type="dxa"/>
            <w:vAlign w:val="bottom"/>
          </w:tcPr>
          <w:p>
            <w:pPr>
              <w:spacing w:after="0"/>
              <w:rPr>
                <w:sz w:val="20"/>
                <w:szCs w:val="20"/>
                <w:color w:val="auto"/>
              </w:rPr>
            </w:pPr>
          </w:p>
        </w:tc>
      </w:tr>
      <w:tr>
        <w:trPr>
          <w:trHeight w:val="24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w:t>
            </w:r>
          </w:p>
        </w:tc>
        <w:tc>
          <w:tcPr>
            <w:tcW w:w="100" w:type="dxa"/>
            <w:vAlign w:val="bottom"/>
            <w:shd w:val="clear" w:color="auto" w:fill="CCEEFF"/>
          </w:tcPr>
          <w:p>
            <w:pPr>
              <w:spacing w:after="0"/>
              <w:rPr>
                <w:sz w:val="20"/>
                <w:szCs w:val="20"/>
                <w:color w:val="auto"/>
              </w:rPr>
            </w:pPr>
          </w:p>
        </w:tc>
      </w:tr>
      <w:tr>
        <w:trPr>
          <w:trHeight w:val="238"/>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5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(4,328 )</w:t>
            </w:r>
          </w:p>
        </w:tc>
      </w:tr>
      <w:tr>
        <w:trPr>
          <w:trHeight w:val="276"/>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 expense recorded for the years ended December 31, 2022 and 2021 was $2,215 and $1,691, respectively.</w:t>
      </w:r>
    </w:p>
    <w:p>
      <w:pPr>
        <w:spacing w:after="0" w:line="225" w:lineRule="exact"/>
        <w:rPr>
          <w:sz w:val="20"/>
          <w:szCs w:val="20"/>
          <w:color w:val="auto"/>
        </w:rPr>
      </w:pPr>
    </w:p>
    <w:p>
      <w:pPr>
        <w:ind w:right="180" w:firstLine="644"/>
        <w:spacing w:after="0" w:line="260" w:lineRule="auto"/>
        <w:rPr>
          <w:sz w:val="20"/>
          <w:szCs w:val="20"/>
          <w:color w:val="auto"/>
        </w:rPr>
      </w:pPr>
      <w:r>
        <w:rPr>
          <w:rFonts w:ascii="Times New Roman" w:cs="Times New Roman" w:eastAsia="Times New Roman" w:hAnsi="Times New Roman"/>
          <w:sz w:val="18"/>
          <w:szCs w:val="18"/>
          <w:color w:val="auto"/>
        </w:rPr>
        <w:t>The Company currently subleases the office space at 420 Bedford Street in Lexington, MA to another company. This sublease agreement expires in August, 2023. In April 2021, the Company entered into a sublease agreement with the previous tenants of the office space at 1 Research Way in Princeton, NJ, from April 2021 to July 2021. For the year ended December 31, 2022 and 2021, sublease income for the Company was $107 and $116, respectively</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20" w:firstLine="644"/>
        <w:spacing w:after="0" w:line="28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Convertible Preferred Stock</w:t>
      </w:r>
    </w:p>
    <w:p>
      <w:pPr>
        <w:spacing w:after="0" w:line="121" w:lineRule="exact"/>
        <w:rPr>
          <w:sz w:val="20"/>
          <w:szCs w:val="20"/>
          <w:color w:val="auto"/>
        </w:rPr>
      </w:pPr>
    </w:p>
    <w:p>
      <w:pPr>
        <w:ind w:right="340" w:firstLine="644"/>
        <w:spacing w:after="0" w:line="265" w:lineRule="auto"/>
        <w:rPr>
          <w:sz w:val="20"/>
          <w:szCs w:val="20"/>
          <w:color w:val="auto"/>
        </w:rPr>
      </w:pPr>
      <w:r>
        <w:rPr>
          <w:rFonts w:ascii="Times New Roman" w:cs="Times New Roman" w:eastAsia="Times New Roman" w:hAnsi="Times New Roman"/>
          <w:sz w:val="18"/>
          <w:szCs w:val="18"/>
          <w:color w:val="auto"/>
        </w:rPr>
        <w:t>In July 2020, the Company issued 5,321,864 shares of Series D Preferred Stock at a price of $13.1533 per share, resulting in gross proceeds of $70,000. In connection with the IPO on September 25, 2020, all of the Company’s convertible preferred stock, including Series D Preferred Stock, outstanding at the time of the IPO automatically converted into an aggregate of 28,188,110 shares of common stock.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Stockholders' Equity</w:t>
      </w:r>
    </w:p>
    <w:p>
      <w:pPr>
        <w:spacing w:after="0" w:line="121" w:lineRule="exact"/>
        <w:rPr>
          <w:sz w:val="20"/>
          <w:szCs w:val="20"/>
          <w:color w:val="auto"/>
        </w:rPr>
      </w:pPr>
    </w:p>
    <w:p>
      <w:pPr>
        <w:jc w:val="both"/>
        <w:ind w:right="40" w:firstLine="644"/>
        <w:spacing w:after="0" w:line="265"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As of December 31, 2022 and 2021, there were 45,771,332 and 45,433,684 shares of common stock issued and outstanding, respectively.</w:t>
      </w:r>
    </w:p>
    <w:p>
      <w:pPr>
        <w:spacing w:after="0" w:line="177" w:lineRule="exact"/>
        <w:rPr>
          <w:sz w:val="20"/>
          <w:szCs w:val="20"/>
          <w:color w:val="auto"/>
        </w:rPr>
      </w:pPr>
    </w:p>
    <w:p>
      <w:pPr>
        <w:ind w:right="600" w:firstLine="644"/>
        <w:spacing w:after="0" w:line="281"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December 31, 2022, no dividends on common stock had been declared by the Company.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and 2021, the Company had reserved shares of common stock for issuance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3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5,278,771</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4,246,007</w:t>
            </w: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stock option and RSU grants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4,618,292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4,951,680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for employee stock purchase plan</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705,559</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801,464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10,602,622</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9,999,151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76835"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Stock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2022, the board’s compensation committee, as the 2020 Plan administrator, exercised its discretion under clause (iii) to increase the number of shares of common stock reserved for issuance under the 2020 Plan by a lesser amount of 1,363,084 shares, effective as of January 1, 2022. For 2023, the board’s compensation committee, as the 2020 Plan administrator, exercised its discretion under clause (iii) to increase the number of shares of common stock reserved for issuance under the 2020 Plan by a lesser amount of 1,830,853 shares, effective as of January 1, 2023. As of December 31, 2022, there were 4,618,292 shares available for issuance under the 2020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22" w:lineRule="exact"/>
        <w:rPr>
          <w:sz w:val="20"/>
          <w:szCs w:val="20"/>
          <w:color w:val="auto"/>
        </w:rPr>
      </w:pPr>
    </w:p>
    <w:p>
      <w:pPr>
        <w:ind w:right="100" w:firstLine="644"/>
        <w:spacing w:after="0" w:line="265"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Board's compensation committee. The RSU’s have graded vesting on an annual basis for two years of continuous service, as per the 2020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summarizes the annual grant activity under the 2020 Plan as of</w:t>
            </w:r>
          </w:p>
        </w:tc>
        <w:tc>
          <w:tcPr>
            <w:tcW w:w="4820" w:type="dxa"/>
            <w:vAlign w:val="bottom"/>
            <w:gridSpan w:val="3"/>
          </w:tcPr>
          <w:p>
            <w:pPr>
              <w:jc w:val="right"/>
              <w:ind w:right="332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380"/>
        </w:trPr>
        <w:tc>
          <w:tcPr>
            <w:tcW w:w="6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87"/>
        </w:trPr>
        <w:tc>
          <w:tcPr>
            <w:tcW w:w="64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32"/>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2021</w:t>
            </w:r>
          </w:p>
        </w:tc>
        <w:tc>
          <w:tcPr>
            <w:tcW w:w="29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4,951,680</w:t>
            </w:r>
          </w:p>
        </w:tc>
        <w:tc>
          <w:tcPr>
            <w:tcW w:w="320" w:type="dxa"/>
            <w:vAlign w:val="bottom"/>
          </w:tcPr>
          <w:p>
            <w:pPr>
              <w:spacing w:after="0"/>
              <w:rPr>
                <w:sz w:val="20"/>
                <w:szCs w:val="20"/>
                <w:color w:val="auto"/>
              </w:rPr>
            </w:pP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4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1,363,084</w:t>
            </w:r>
          </w:p>
        </w:tc>
        <w:tc>
          <w:tcPr>
            <w:tcW w:w="320" w:type="dxa"/>
            <w:vAlign w:val="bottom"/>
            <w:shd w:val="clear" w:color="auto" w:fill="CFF0FC"/>
          </w:tcPr>
          <w:p>
            <w:pPr>
              <w:spacing w:after="0"/>
              <w:rPr>
                <w:sz w:val="21"/>
                <w:szCs w:val="21"/>
                <w:color w:val="auto"/>
              </w:rPr>
            </w:pPr>
          </w:p>
        </w:tc>
      </w:tr>
      <w:tr>
        <w:trPr>
          <w:trHeight w:val="23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4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(1,419,197 )</w:t>
            </w: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4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(374,899 )</w:t>
            </w:r>
          </w:p>
        </w:tc>
      </w:tr>
      <w:tr>
        <w:trPr>
          <w:trHeight w:val="23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97,624</w:t>
            </w:r>
          </w:p>
        </w:tc>
        <w:tc>
          <w:tcPr>
            <w:tcW w:w="320" w:type="dxa"/>
            <w:vAlign w:val="bottom"/>
          </w:tcPr>
          <w:p>
            <w:pPr>
              <w:spacing w:after="0"/>
              <w:rPr>
                <w:sz w:val="20"/>
                <w:szCs w:val="20"/>
                <w:color w:val="auto"/>
              </w:rPr>
            </w:pPr>
          </w:p>
        </w:tc>
      </w:tr>
      <w:tr>
        <w:trPr>
          <w:trHeight w:val="280"/>
        </w:trPr>
        <w:tc>
          <w:tcPr>
            <w:tcW w:w="64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2022</w:t>
            </w:r>
          </w:p>
        </w:tc>
        <w:tc>
          <w:tcPr>
            <w:tcW w:w="2940" w:type="dxa"/>
            <w:vAlign w:val="bottom"/>
            <w:tcBorders>
              <w:top w:val="single" w:sz="8" w:color="CFF0FC"/>
              <w:bottom w:val="single" w:sz="8" w:color="CFF0FC"/>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4,618,292</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-187960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160" w:firstLine="644"/>
        <w:spacing w:after="0" w:line="271" w:lineRule="auto"/>
        <w:rPr>
          <w:sz w:val="20"/>
          <w:szCs w:val="20"/>
          <w:color w:val="auto"/>
        </w:rPr>
      </w:pPr>
      <w:r>
        <w:rPr>
          <w:rFonts w:ascii="Times New Roman" w:cs="Times New Roman" w:eastAsia="Times New Roman" w:hAnsi="Times New Roman"/>
          <w:sz w:val="17"/>
          <w:szCs w:val="17"/>
          <w:color w:val="auto"/>
        </w:rPr>
        <w:t>The 2020 Employee Stock Purchase Plan (the “2020 ESPP”) was approved by the board of directors on September 24, 2020. A total of 400,752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2022, the board waived the annual increase to the shares reserved under the 2020 ESPP. For 2023, the 2020 ESPP reserved shares were increased under clause (iii) by 457,713 shares, effective as of January 1, 2023. On May 20, 2022, employees exercised their right to purchase 18,454 shares under the 2020 ESPP. On November 21, 2022, employees exercised their right to purchase 30,385 shares under the 2020 ESPP. As of December 31, 2022, 95,905 shares are issued or outstanding, and there were 705,559 shares available for issuance, under the 2020 ESPP.</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2013 Equity Incentive Plan</w:t>
      </w:r>
    </w:p>
    <w:p>
      <w:pPr>
        <w:spacing w:after="0" w:line="121" w:lineRule="exact"/>
        <w:rPr>
          <w:sz w:val="20"/>
          <w:szCs w:val="20"/>
          <w:color w:val="auto"/>
        </w:rPr>
      </w:pPr>
    </w:p>
    <w:p>
      <w:pPr>
        <w:jc w:val="both"/>
        <w:ind w:firstLine="644"/>
        <w:spacing w:after="0" w:line="288" w:lineRule="auto"/>
        <w:rPr>
          <w:sz w:val="20"/>
          <w:szCs w:val="20"/>
          <w:color w:val="auto"/>
        </w:rPr>
      </w:pPr>
      <w:r>
        <w:rPr>
          <w:rFonts w:ascii="Times New Roman" w:cs="Times New Roman" w:eastAsia="Times New Roman" w:hAnsi="Times New Roman"/>
          <w:sz w:val="17"/>
          <w:szCs w:val="17"/>
          <w:color w:val="auto"/>
        </w:rPr>
        <w:t>In 2013, the Company adopted the 2013 Stock Plan (the “2013 Plan”). On September 24, 2020, this plan was replaced by the 2020 Plan, and future issuances of incentive instruments will be governed by that plan. Subject to the provisions of the 2020 Plan, the Company had the option to either forfeit or repurchase remaining shares under the 2013 Equity Incentive Plan on or after the registration date. The Company chose to forfeit the remaining shares.</w:t>
      </w: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December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5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00" w:type="dxa"/>
            <w:vAlign w:val="bottom"/>
          </w:tcPr>
          <w:p>
            <w:pPr>
              <w:spacing w:after="0"/>
              <w:rPr>
                <w:sz w:val="13"/>
                <w:szCs w:val="13"/>
                <w:color w:val="auto"/>
              </w:rPr>
            </w:pPr>
          </w:p>
        </w:tc>
      </w:tr>
      <w:tr>
        <w:trPr>
          <w:trHeight w:val="187"/>
        </w:trPr>
        <w:tc>
          <w:tcPr>
            <w:tcW w:w="7660" w:type="dxa"/>
            <w:vAlign w:val="bottom"/>
          </w:tcPr>
          <w:p>
            <w:pPr>
              <w:spacing w:after="0"/>
              <w:rPr>
                <w:sz w:val="16"/>
                <w:szCs w:val="16"/>
                <w:color w:val="auto"/>
              </w:rPr>
            </w:pPr>
          </w:p>
        </w:tc>
        <w:tc>
          <w:tcPr>
            <w:tcW w:w="15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300" w:type="dxa"/>
            <w:vAlign w:val="bottom"/>
          </w:tcPr>
          <w:p>
            <w:pPr>
              <w:spacing w:after="0"/>
              <w:rPr>
                <w:sz w:val="16"/>
                <w:szCs w:val="16"/>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r>
      <w:tr>
        <w:trPr>
          <w:trHeight w:val="238"/>
        </w:trPr>
        <w:tc>
          <w:tcPr>
            <w:tcW w:w="7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374,899</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Borders>
              <w:bottom w:val="single" w:sz="8" w:color="CFF0FC"/>
            </w:tcBorders>
          </w:tcPr>
          <w:p>
            <w:pPr>
              <w:spacing w:after="0"/>
              <w:rPr>
                <w:sz w:val="20"/>
                <w:szCs w:val="20"/>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2022</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374,899</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-24765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-7620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-187960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-187960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644"/>
        <w:spacing w:after="0" w:line="281" w:lineRule="auto"/>
        <w:rPr>
          <w:sz w:val="20"/>
          <w:szCs w:val="20"/>
          <w:color w:val="auto"/>
        </w:rPr>
      </w:pPr>
      <w:r>
        <w:rPr>
          <w:rFonts w:ascii="Times New Roman" w:cs="Times New Roman" w:eastAsia="Times New Roman" w:hAnsi="Times New Roman"/>
          <w:sz w:val="18"/>
          <w:szCs w:val="18"/>
          <w:color w:val="auto"/>
        </w:rPr>
        <w:t>As of December 31, 2022, there was $4,317 of unrecognized compensation cost related to RSUs that are expected to vest. These costs are expected to be recognized over a weighted average remaining vesting period of 1.7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year ended December 31, 2022:</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308"/>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5"/>
        </w:trPr>
        <w:tc>
          <w:tcPr>
            <w:tcW w:w="4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5"/>
                <w:szCs w:val="15"/>
                <w:color w:val="auto"/>
              </w:rPr>
            </w:pPr>
          </w:p>
        </w:tc>
      </w:tr>
      <w:tr>
        <w:trPr>
          <w:trHeight w:val="175"/>
        </w:trPr>
        <w:tc>
          <w:tcPr>
            <w:tcW w:w="43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220" w:type="dxa"/>
            <w:vAlign w:val="bottom"/>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5"/>
                <w:szCs w:val="15"/>
                <w:color w:val="auto"/>
              </w:rPr>
            </w:pPr>
          </w:p>
        </w:tc>
      </w:tr>
      <w:tr>
        <w:trPr>
          <w:trHeight w:val="175"/>
        </w:trPr>
        <w:tc>
          <w:tcPr>
            <w:tcW w:w="43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5"/>
                <w:szCs w:val="15"/>
                <w:color w:val="auto"/>
              </w:rPr>
            </w:pPr>
          </w:p>
        </w:tc>
        <w:tc>
          <w:tcPr>
            <w:tcW w:w="1220" w:type="dxa"/>
            <w:vAlign w:val="bottom"/>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Life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r>
      <w:tr>
        <w:trPr>
          <w:trHeight w:val="187"/>
        </w:trPr>
        <w:tc>
          <w:tcPr>
            <w:tcW w:w="436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center"/>
              <w:ind w:left="42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6"/>
                <w:szCs w:val="16"/>
                <w:color w:val="auto"/>
              </w:rPr>
            </w:pPr>
          </w:p>
        </w:tc>
      </w:tr>
      <w:tr>
        <w:trPr>
          <w:trHeight w:val="23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4,246,007</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04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68,506</w:t>
            </w:r>
          </w:p>
        </w:tc>
        <w:tc>
          <w:tcPr>
            <w:tcW w:w="100" w:type="dxa"/>
            <w:vAlign w:val="bottom"/>
            <w:shd w:val="clear" w:color="auto" w:fill="CFF0FC"/>
          </w:tcPr>
          <w:p>
            <w:pPr>
              <w:spacing w:after="0"/>
              <w:rPr>
                <w:sz w:val="20"/>
                <w:szCs w:val="20"/>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1,419,197</w:t>
            </w:r>
          </w:p>
        </w:tc>
        <w:tc>
          <w:tcPr>
            <w:tcW w:w="1360" w:type="dxa"/>
            <w:vAlign w:val="bottom"/>
            <w:gridSpan w:val="2"/>
          </w:tcPr>
          <w:p>
            <w:pPr>
              <w:jc w:val="right"/>
              <w:ind w:right="104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2920" w:type="dxa"/>
            <w:vAlign w:val="bottom"/>
            <w:gridSpan w:val="3"/>
            <w:shd w:val="clear" w:color="auto" w:fill="CFF0FC"/>
          </w:tcPr>
          <w:p>
            <w:pPr>
              <w:jc w:val="right"/>
              <w:ind w:right="1043"/>
              <w:spacing w:after="0"/>
              <w:rPr>
                <w:sz w:val="20"/>
                <w:szCs w:val="20"/>
                <w:color w:val="auto"/>
              </w:rPr>
            </w:pPr>
            <w:r>
              <w:rPr>
                <w:rFonts w:ascii="Times New Roman" w:cs="Times New Roman" w:eastAsia="Times New Roman" w:hAnsi="Times New Roman"/>
                <w:sz w:val="18"/>
                <w:szCs w:val="18"/>
                <w:color w:val="auto"/>
              </w:rPr>
              <w:t>(97,624 ) $</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2920" w:type="dxa"/>
            <w:vAlign w:val="bottom"/>
            <w:gridSpan w:val="3"/>
          </w:tcPr>
          <w:p>
            <w:pPr>
              <w:jc w:val="right"/>
              <w:ind w:right="1043"/>
              <w:spacing w:after="0"/>
              <w:rPr>
                <w:sz w:val="20"/>
                <w:szCs w:val="20"/>
                <w:color w:val="auto"/>
              </w:rPr>
            </w:pPr>
            <w:r>
              <w:rPr>
                <w:rFonts w:ascii="Times New Roman" w:cs="Times New Roman" w:eastAsia="Times New Roman" w:hAnsi="Times New Roman"/>
                <w:sz w:val="18"/>
                <w:szCs w:val="18"/>
                <w:color w:val="auto"/>
              </w:rPr>
              <w:t>(288,809 )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5,278,771</w:t>
            </w:r>
          </w:p>
        </w:tc>
        <w:tc>
          <w:tcPr>
            <w:tcW w:w="1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ind w:right="104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40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5"/>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5,278,771</w:t>
            </w:r>
          </w:p>
        </w:tc>
        <w:tc>
          <w:tcPr>
            <w:tcW w:w="1360" w:type="dxa"/>
            <w:vAlign w:val="bottom"/>
            <w:tcBorders>
              <w:bottom w:val="single" w:sz="8" w:color="CFF0FC"/>
            </w:tcBorders>
            <w:gridSpan w:val="2"/>
            <w:shd w:val="clear" w:color="auto" w:fill="CFF0FC"/>
          </w:tcPr>
          <w:p>
            <w:pPr>
              <w:jc w:val="right"/>
              <w:ind w:right="104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40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Exercisable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3,281,213</w:t>
            </w:r>
          </w:p>
        </w:tc>
        <w:tc>
          <w:tcPr>
            <w:tcW w:w="1360" w:type="dxa"/>
            <w:vAlign w:val="bottom"/>
            <w:gridSpan w:val="2"/>
          </w:tcPr>
          <w:p>
            <w:pPr>
              <w:jc w:val="right"/>
              <w:ind w:right="104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-538480</wp:posOffset>
            </wp:positionV>
            <wp:extent cx="123317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-205105</wp:posOffset>
            </wp:positionV>
            <wp:extent cx="76835" cy="2057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205740"/>
                    </a:xfrm>
                    <a:prstGeom prst="rect">
                      <a:avLst/>
                    </a:prstGeom>
                    <a:noFill/>
                  </pic:spPr>
                </pic:pic>
              </a:graphicData>
            </a:graphic>
          </wp:anchor>
        </w:drawing>
      </w:r>
    </w:p>
    <w:p>
      <w:pPr>
        <w:spacing w:after="0" w:line="204"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 ended December 31, 2022 and 2021 was $10.92 and $20.03, respectively.</w:t>
      </w:r>
    </w:p>
    <w:p>
      <w:pPr>
        <w:spacing w:after="0" w:line="163" w:lineRule="exact"/>
        <w:rPr>
          <w:sz w:val="20"/>
          <w:szCs w:val="20"/>
          <w:color w:val="auto"/>
        </w:rPr>
      </w:pPr>
    </w:p>
    <w:p>
      <w:pPr>
        <w:jc w:val="both"/>
        <w:ind w:right="40" w:firstLine="644"/>
        <w:spacing w:after="0" w:line="281"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as of December 31, 2022 and 2021 is calculated based on the difference between the exercise price and the fair value of our common stock. The intrinsic value of options exercised in 2022 and 2021 was $3,764 and $18,534, respectively.</w:t>
      </w:r>
    </w:p>
    <w:p>
      <w:pPr>
        <w:spacing w:after="0" w:line="163"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As of December 31, 2022, the total compensation cost related to nonvested service-based awards not yet recognized is $21,005. The weighted-average period over which the nonvested awards is expected to be recognized is 2.8 years.</w:t>
      </w:r>
    </w:p>
    <w:p>
      <w:pPr>
        <w:spacing w:after="0" w:line="163" w:lineRule="exact"/>
        <w:rPr>
          <w:sz w:val="20"/>
          <w:szCs w:val="20"/>
          <w:color w:val="auto"/>
        </w:rPr>
      </w:pPr>
    </w:p>
    <w:p>
      <w:pPr>
        <w:jc w:val="both"/>
        <w:ind w:right="40" w:firstLine="644"/>
        <w:spacing w:after="0" w:line="265"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options valuation model. The fair value of employee stock options is being amortized on a straight-line basis over the requisite service period of the awards. The fair value of employee stock options was estimated using the following assumptions: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6"/>
        </w:trPr>
        <w:tc>
          <w:tcPr>
            <w:tcW w:w="5420" w:type="dxa"/>
            <w:vAlign w:val="bottom"/>
          </w:tcPr>
          <w:p>
            <w:pPr>
              <w:spacing w:after="0"/>
              <w:rPr>
                <w:sz w:val="20"/>
                <w:szCs w:val="20"/>
                <w:color w:val="auto"/>
              </w:rPr>
            </w:pPr>
          </w:p>
        </w:tc>
        <w:tc>
          <w:tcPr>
            <w:tcW w:w="1900" w:type="dxa"/>
            <w:vAlign w:val="bottom"/>
            <w:gridSpan w:val="2"/>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20" w:type="dxa"/>
            <w:vAlign w:val="bottom"/>
            <w:gridSpan w:val="3"/>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4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20"/>
                <w:szCs w:val="20"/>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- 4.34%</w:t>
            </w:r>
          </w:p>
        </w:tc>
        <w:tc>
          <w:tcPr>
            <w:tcW w:w="12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9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- 1.30%</w:t>
            </w:r>
          </w:p>
        </w:tc>
        <w:tc>
          <w:tcPr>
            <w:tcW w:w="10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9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- 1.51%</w:t>
            </w:r>
          </w:p>
        </w:tc>
        <w:tc>
          <w:tcPr>
            <w:tcW w:w="160" w:type="dxa"/>
            <w:vAlign w:val="bottom"/>
            <w:shd w:val="clear" w:color="auto" w:fill="CCEEFF"/>
          </w:tcPr>
          <w:p>
            <w:pPr>
              <w:spacing w:after="0"/>
              <w:rPr>
                <w:sz w:val="20"/>
                <w:szCs w:val="20"/>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- 6.40</w:t>
            </w:r>
          </w:p>
        </w:tc>
        <w:tc>
          <w:tcPr>
            <w:tcW w:w="160" w:type="dxa"/>
            <w:vAlign w:val="bottom"/>
          </w:tcPr>
          <w:p>
            <w:pPr>
              <w:spacing w:after="0"/>
              <w:rPr>
                <w:sz w:val="20"/>
                <w:szCs w:val="20"/>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0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gridSpan w:val="3"/>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1"/>
                <w:szCs w:val="21"/>
                <w:color w:val="auto"/>
              </w:rPr>
            </w:pP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- 79.90%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- 77.60%</w:t>
            </w:r>
          </w:p>
        </w:tc>
        <w:tc>
          <w:tcPr>
            <w:tcW w:w="160" w:type="dxa"/>
            <w:vAlign w:val="bottom"/>
          </w:tcPr>
          <w:p>
            <w:pPr>
              <w:spacing w:after="0"/>
              <w:rPr>
                <w:sz w:val="20"/>
                <w:szCs w:val="20"/>
                <w:color w:val="auto"/>
              </w:rPr>
            </w:pPr>
          </w:p>
        </w:tc>
      </w:tr>
    </w:tbl>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2020 ESPP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1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3600" w:type="dxa"/>
            <w:vAlign w:val="bottom"/>
          </w:tcPr>
          <w:p>
            <w:pPr>
              <w:spacing w:after="0"/>
              <w:rPr>
                <w:sz w:val="19"/>
                <w:szCs w:val="19"/>
                <w:color w:val="auto"/>
              </w:rPr>
            </w:pPr>
          </w:p>
        </w:tc>
        <w:tc>
          <w:tcPr>
            <w:tcW w:w="6060" w:type="dxa"/>
            <w:vAlign w:val="bottom"/>
            <w:gridSpan w:val="2"/>
          </w:tcPr>
          <w:p>
            <w:pPr>
              <w:jc w:val="center"/>
              <w:ind w:left="44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58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50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0.0004</w:t>
            </w: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6060" w:type="dxa"/>
            <w:vAlign w:val="bottom"/>
            <w:gridSpan w:val="2"/>
          </w:tcPr>
          <w:p>
            <w:pPr>
              <w:jc w:val="center"/>
              <w:ind w:left="4414"/>
              <w:spacing w:after="0"/>
              <w:rPr>
                <w:sz w:val="20"/>
                <w:szCs w:val="20"/>
                <w:color w:val="auto"/>
              </w:rPr>
            </w:pPr>
            <w:r>
              <w:rPr>
                <w:rFonts w:ascii="Times New Roman" w:cs="Times New Roman" w:eastAsia="Times New Roman" w:hAnsi="Times New Roman"/>
                <w:sz w:val="18"/>
                <w:szCs w:val="18"/>
                <w:color w:val="auto"/>
              </w:rPr>
              <w:t>0.49</w:t>
            </w:r>
          </w:p>
        </w:tc>
        <w:tc>
          <w:tcPr>
            <w:tcW w:w="158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w w:val="97"/>
              </w:rPr>
              <w:t>0.5</w:t>
            </w:r>
          </w:p>
        </w:tc>
      </w:tr>
      <w:tr>
        <w:trPr>
          <w:trHeight w:val="247"/>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060" w:type="dxa"/>
            <w:vAlign w:val="bottom"/>
            <w:gridSpan w:val="2"/>
            <w:shd w:val="clear" w:color="auto" w:fill="CFF0FC"/>
          </w:tcPr>
          <w:p>
            <w:pPr>
              <w:jc w:val="center"/>
              <w:ind w:left="4414"/>
              <w:spacing w:after="0"/>
              <w:rPr>
                <w:sz w:val="20"/>
                <w:szCs w:val="20"/>
                <w:color w:val="auto"/>
              </w:rPr>
            </w:pPr>
            <w:r>
              <w:rPr>
                <w:rFonts w:ascii="Times New Roman" w:cs="Times New Roman" w:eastAsia="Times New Roman" w:hAnsi="Times New Roman"/>
                <w:sz w:val="18"/>
                <w:szCs w:val="18"/>
                <w:color w:val="auto"/>
                <w:w w:val="99"/>
              </w:rPr>
              <w:t>0%</w:t>
            </w:r>
          </w:p>
        </w:tc>
        <w:tc>
          <w:tcPr>
            <w:tcW w:w="1580" w:type="dxa"/>
            <w:vAlign w:val="bottom"/>
            <w:gridSpan w:val="2"/>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60" w:type="dxa"/>
            <w:vAlign w:val="bottom"/>
            <w:gridSpan w:val="2"/>
          </w:tcPr>
          <w:p>
            <w:pPr>
              <w:jc w:val="center"/>
              <w:ind w:left="4414"/>
              <w:spacing w:after="0"/>
              <w:rPr>
                <w:sz w:val="20"/>
                <w:szCs w:val="20"/>
                <w:color w:val="auto"/>
              </w:rPr>
            </w:pPr>
            <w:r>
              <w:rPr>
                <w:rFonts w:ascii="Times New Roman" w:cs="Times New Roman" w:eastAsia="Times New Roman" w:hAnsi="Times New Roman"/>
                <w:sz w:val="18"/>
                <w:szCs w:val="18"/>
                <w:color w:val="auto"/>
              </w:rPr>
              <w:t>77.00%</w:t>
            </w:r>
          </w:p>
        </w:tc>
        <w:tc>
          <w:tcPr>
            <w:tcW w:w="158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rPr>
              <w:t>77.83%</w:t>
            </w:r>
          </w:p>
        </w:tc>
      </w:tr>
      <w:tr>
        <w:trPr>
          <w:trHeight w:val="656"/>
        </w:trPr>
        <w:tc>
          <w:tcPr>
            <w:tcW w:w="3600" w:type="dxa"/>
            <w:vAlign w:val="bottom"/>
          </w:tcPr>
          <w:p>
            <w:pPr>
              <w:spacing w:after="0"/>
              <w:rPr>
                <w:sz w:val="24"/>
                <w:szCs w:val="24"/>
                <w:color w:val="auto"/>
              </w:rPr>
            </w:pPr>
          </w:p>
        </w:tc>
        <w:tc>
          <w:tcPr>
            <w:tcW w:w="4500" w:type="dxa"/>
            <w:vAlign w:val="bottom"/>
          </w:tcPr>
          <w:p>
            <w:pPr>
              <w:jc w:val="right"/>
              <w:ind w:right="2254"/>
              <w:spacing w:after="0"/>
              <w:rPr>
                <w:sz w:val="20"/>
                <w:szCs w:val="20"/>
                <w:color w:val="auto"/>
              </w:rPr>
            </w:pPr>
            <w:r>
              <w:rPr>
                <w:rFonts w:ascii="Times New Roman" w:cs="Times New Roman" w:eastAsia="Times New Roman" w:hAnsi="Times New Roman"/>
                <w:sz w:val="18"/>
                <w:szCs w:val="18"/>
                <w:color w:val="auto"/>
              </w:rPr>
              <w:t>131</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6" w:lineRule="exact"/>
        <w:rPr>
          <w:sz w:val="20"/>
          <w:szCs w:val="20"/>
          <w:color w:val="auto"/>
        </w:rPr>
      </w:pPr>
    </w:p>
    <w:p>
      <w:pPr>
        <w:ind w:right="240" w:firstLine="644"/>
        <w:spacing w:after="0" w:line="281"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Volatility: Volatility is based on an average of the historical volatilities of comparable publicly traded companies for the expected term.</w:t>
      </w:r>
    </w:p>
    <w:p>
      <w:pPr>
        <w:spacing w:after="0" w:line="225" w:lineRule="exact"/>
        <w:rPr>
          <w:sz w:val="20"/>
          <w:szCs w:val="20"/>
          <w:color w:val="auto"/>
        </w:rPr>
      </w:pPr>
    </w:p>
    <w:p>
      <w:pPr>
        <w:ind w:right="400" w:firstLine="644"/>
        <w:spacing w:after="0" w:line="281"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163" w:lineRule="exact"/>
        <w:rPr>
          <w:sz w:val="20"/>
          <w:szCs w:val="20"/>
          <w:color w:val="auto"/>
        </w:rPr>
      </w:pPr>
    </w:p>
    <w:p>
      <w:pPr>
        <w:ind w:right="280" w:firstLine="644"/>
        <w:spacing w:after="0" w:line="281"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Stock-based compensation expense recorded under ASC 718 was allocated to research and development and general and administrative expense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6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r>
      <w:tr>
        <w:trPr>
          <w:trHeight w:val="23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FF0FC"/>
          </w:tcPr>
          <w:p>
            <w:pPr>
              <w:spacing w:after="0"/>
              <w:rPr>
                <w:sz w:val="20"/>
                <w:szCs w:val="20"/>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20"/>
                <w:szCs w:val="20"/>
                <w:color w:val="auto"/>
              </w:rPr>
            </w:pPr>
          </w:p>
        </w:tc>
      </w:tr>
      <w:tr>
        <w:trPr>
          <w:trHeight w:val="276"/>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-24765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4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4697095</wp:posOffset>
            </wp:positionH>
            <wp:positionV relativeFrom="paragraph">
              <wp:posOffset>-187960</wp:posOffset>
            </wp:positionV>
            <wp:extent cx="76835"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-187960</wp:posOffset>
            </wp:positionV>
            <wp:extent cx="685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6974840</wp:posOffset>
            </wp:positionH>
            <wp:positionV relativeFrom="paragraph">
              <wp:posOffset>-187960</wp:posOffset>
            </wp:positionV>
            <wp:extent cx="6858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Income Taxes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income tax (benefit) provision for the years ended December 31, 2022, 2021, and 2020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40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(9 )</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w:t>
            </w:r>
          </w:p>
        </w:tc>
        <w:tc>
          <w:tcPr>
            <w:tcW w:w="2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(9 )</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3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80" w:type="dxa"/>
            <w:vAlign w:val="bottom"/>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40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2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3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(benefit) provision</w:t>
            </w:r>
          </w:p>
        </w:tc>
        <w:tc>
          <w:tcPr>
            <w:tcW w:w="2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628"/>
        </w:trPr>
        <w:tc>
          <w:tcPr>
            <w:tcW w:w="3760" w:type="dxa"/>
            <w:vAlign w:val="bottom"/>
          </w:tcPr>
          <w:p>
            <w:pPr>
              <w:spacing w:after="0"/>
              <w:rPr>
                <w:sz w:val="24"/>
                <w:szCs w:val="24"/>
                <w:color w:val="auto"/>
              </w:rPr>
            </w:pPr>
          </w:p>
        </w:tc>
        <w:tc>
          <w:tcPr>
            <w:tcW w:w="2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132</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4799965</wp:posOffset>
            </wp:positionH>
            <wp:positionV relativeFrom="paragraph">
              <wp:posOffset>-1480820</wp:posOffset>
            </wp:positionV>
            <wp:extent cx="76835"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-1480820</wp:posOffset>
            </wp:positionV>
            <wp:extent cx="6858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-847090</wp:posOffset>
            </wp:positionV>
            <wp:extent cx="76835"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-847090</wp:posOffset>
            </wp:positionV>
            <wp:extent cx="6858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-521970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-504825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-521970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-504825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9" w:lineRule="exact"/>
        <w:rPr>
          <w:sz w:val="20"/>
          <w:szCs w:val="20"/>
          <w:color w:val="auto"/>
        </w:rPr>
      </w:pPr>
    </w:p>
    <w:p>
      <w:pPr>
        <w:ind w:right="740" w:firstLine="644"/>
        <w:spacing w:after="0" w:line="281" w:lineRule="auto"/>
        <w:rPr>
          <w:sz w:val="20"/>
          <w:szCs w:val="20"/>
          <w:color w:val="auto"/>
        </w:rPr>
      </w:pPr>
      <w:r>
        <w:rPr>
          <w:rFonts w:ascii="Times New Roman" w:cs="Times New Roman" w:eastAsia="Times New Roman" w:hAnsi="Times New Roman"/>
          <w:sz w:val="18"/>
          <w:szCs w:val="18"/>
          <w:color w:val="auto"/>
        </w:rPr>
        <w:t>A reconciliation of income tax computed at the statutory federal income tax rate to the (benefit) provision for income taxes included in the accompanying statements of operations for the Company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1"/>
        </w:trPr>
        <w:tc>
          <w:tcPr>
            <w:tcW w:w="5880" w:type="dxa"/>
            <w:vAlign w:val="bottom"/>
          </w:tcPr>
          <w:p>
            <w:pPr>
              <w:spacing w:after="0"/>
              <w:rPr>
                <w:sz w:val="11"/>
                <w:szCs w:val="11"/>
                <w:color w:val="auto"/>
              </w:rPr>
            </w:pPr>
          </w:p>
        </w:tc>
        <w:tc>
          <w:tcPr>
            <w:tcW w:w="1440" w:type="dxa"/>
            <w:vAlign w:val="bottom"/>
          </w:tcPr>
          <w:p>
            <w:pPr>
              <w:ind w:left="4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r>
      <w:tr>
        <w:trPr>
          <w:trHeight w:val="187"/>
        </w:trPr>
        <w:tc>
          <w:tcPr>
            <w:tcW w:w="7320" w:type="dxa"/>
            <w:vAlign w:val="bottom"/>
            <w:gridSpan w:val="2"/>
          </w:tcPr>
          <w:p>
            <w:pPr>
              <w:ind w:left="6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r>
      <w:tr>
        <w:trPr>
          <w:trHeight w:val="22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14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184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(1 )%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60" w:type="dxa"/>
            <w:vAlign w:val="bottom"/>
          </w:tcPr>
          <w:p>
            <w:pPr>
              <w:spacing w:after="0"/>
              <w:rPr>
                <w:sz w:val="21"/>
                <w:szCs w:val="21"/>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5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40" w:type="dxa"/>
            <w:vAlign w:val="bottom"/>
          </w:tcPr>
          <w:p>
            <w:pPr>
              <w:spacing w:after="0"/>
              <w:rPr>
                <w:sz w:val="22"/>
                <w:szCs w:val="22"/>
                <w:color w:val="auto"/>
              </w:rPr>
            </w:pPr>
          </w:p>
        </w:tc>
        <w:tc>
          <w:tcPr>
            <w:tcW w:w="184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(30 )%</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6"/>
              </w:rPr>
              <w:t>(37 )%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58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8"/>
                <w:szCs w:val="18"/>
                <w:color w:val="auto"/>
                <w:highlight w:val="white"/>
              </w:rPr>
              <w:t>%</w:t>
            </w:r>
          </w:p>
        </w:tc>
        <w:tc>
          <w:tcPr>
            <w:tcW w:w="12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8"/>
                <w:szCs w:val="18"/>
                <w:color w:val="auto"/>
                <w:highlight w:val="white"/>
              </w:rPr>
              <w:t>%</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8"/>
                <w:szCs w:val="18"/>
                <w:color w:val="auto"/>
                <w:highlight w:val="white"/>
              </w:rPr>
              <w:t>%</w:t>
            </w:r>
          </w:p>
        </w:tc>
      </w:tr>
      <w:tr>
        <w:trPr>
          <w:trHeight w:val="20"/>
        </w:trPr>
        <w:tc>
          <w:tcPr>
            <w:tcW w:w="58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4" w:lineRule="exact"/>
        <w:rPr>
          <w:sz w:val="20"/>
          <w:szCs w:val="20"/>
          <w:color w:val="auto"/>
        </w:rPr>
      </w:pPr>
    </w:p>
    <w:p>
      <w:pPr>
        <w:ind w:right="340" w:firstLine="644"/>
        <w:spacing w:after="0" w:line="312" w:lineRule="auto"/>
        <w:rPr>
          <w:sz w:val="20"/>
          <w:szCs w:val="20"/>
          <w:color w:val="auto"/>
        </w:rPr>
      </w:pPr>
      <w:r>
        <w:rPr>
          <w:rFonts w:ascii="Times New Roman" w:cs="Times New Roman" w:eastAsia="Times New Roman" w:hAnsi="Times New Roman"/>
          <w:sz w:val="17"/>
          <w:szCs w:val="17"/>
          <w:color w:val="auto"/>
        </w:rPr>
        <w:t>For the years ended December 31, 2022, 2021, and 2020, the Company’s effective tax rate is below the federal statutory income tax rate of 21% primarily due to state income taxes, net of federal benefit and the Company’s position to establish a full valuation allowance on its deferred tax assets.</w:t>
      </w:r>
    </w:p>
    <w:p>
      <w:pPr>
        <w:spacing w:after="0" w:line="139" w:lineRule="exact"/>
        <w:rPr>
          <w:sz w:val="20"/>
          <w:szCs w:val="20"/>
          <w:color w:val="auto"/>
        </w:rPr>
      </w:pPr>
    </w:p>
    <w:p>
      <w:pPr>
        <w:ind w:right="800" w:firstLine="644"/>
        <w:spacing w:after="0" w:line="281" w:lineRule="auto"/>
        <w:rPr>
          <w:sz w:val="20"/>
          <w:szCs w:val="20"/>
          <w:color w:val="auto"/>
        </w:rPr>
      </w:pPr>
      <w:r>
        <w:rPr>
          <w:rFonts w:ascii="Times New Roman" w:cs="Times New Roman" w:eastAsia="Times New Roman" w:hAnsi="Times New Roman"/>
          <w:sz w:val="18"/>
          <w:szCs w:val="18"/>
          <w:color w:val="auto"/>
        </w:rPr>
        <w:t>The tax effect of temporary differences and carryforwards that give rise to significant portions of the deferred tax assets and liabilities are presented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49,451</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45,231</w:t>
            </w:r>
          </w:p>
        </w:tc>
        <w:tc>
          <w:tcPr>
            <w:tcW w:w="100" w:type="dxa"/>
            <w:vAlign w:val="bottom"/>
          </w:tcPr>
          <w:p>
            <w:pPr>
              <w:spacing w:after="0"/>
              <w:rPr>
                <w:sz w:val="20"/>
                <w:szCs w:val="20"/>
                <w:color w:val="auto"/>
              </w:rPr>
            </w:pPr>
          </w:p>
        </w:tc>
      </w:tr>
      <w:tr>
        <w:trPr>
          <w:trHeight w:val="247"/>
        </w:trPr>
        <w:tc>
          <w:tcPr>
            <w:tcW w:w="7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compensation</w:t>
            </w:r>
          </w:p>
        </w:tc>
        <w:tc>
          <w:tcPr>
            <w:tcW w:w="8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21"/>
                <w:szCs w:val="21"/>
                <w:color w:val="auto"/>
              </w:rPr>
            </w:pPr>
          </w:p>
        </w:tc>
      </w:tr>
      <w:tr>
        <w:trPr>
          <w:trHeight w:val="238"/>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8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shd w:val="clear" w:color="auto" w:fill="CCEEFF"/>
          </w:tcPr>
          <w:p>
            <w:pPr>
              <w:spacing w:after="0"/>
              <w:rPr>
                <w:sz w:val="21"/>
                <w:szCs w:val="21"/>
                <w:color w:val="auto"/>
              </w:rPr>
            </w:pPr>
          </w:p>
        </w:tc>
      </w:tr>
      <w:tr>
        <w:trPr>
          <w:trHeight w:val="238"/>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Accruals and other</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0"/>
                <w:szCs w:val="20"/>
                <w:color w:val="auto"/>
              </w:rPr>
            </w:pPr>
          </w:p>
        </w:tc>
      </w:tr>
      <w:tr>
        <w:trPr>
          <w:trHeight w:val="247"/>
        </w:trPr>
        <w:tc>
          <w:tcPr>
            <w:tcW w:w="7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2"/>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55,619</w:t>
            </w:r>
          </w:p>
        </w:tc>
        <w:tc>
          <w:tcPr>
            <w:tcW w:w="100" w:type="dxa"/>
            <w:vAlign w:val="bottom"/>
          </w:tcPr>
          <w:p>
            <w:pPr>
              <w:spacing w:after="0"/>
              <w:rPr>
                <w:sz w:val="20"/>
                <w:szCs w:val="20"/>
                <w:color w:val="auto"/>
              </w:rPr>
            </w:pPr>
          </w:p>
        </w:tc>
      </w:tr>
      <w:tr>
        <w:trPr>
          <w:trHeight w:val="24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(74,917 )</w:t>
            </w:r>
          </w:p>
        </w:tc>
        <w:tc>
          <w:tcPr>
            <w:tcW w:w="5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(52,728 )</w:t>
            </w:r>
          </w:p>
        </w:tc>
      </w:tr>
      <w:tr>
        <w:trPr>
          <w:trHeight w:val="236"/>
        </w:trPr>
        <w:tc>
          <w:tcPr>
            <w:tcW w:w="7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 recognized</w:t>
            </w:r>
          </w:p>
        </w:tc>
        <w:tc>
          <w:tcPr>
            <w:tcW w:w="8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300" w:type="dxa"/>
            <w:vAlign w:val="bottom"/>
            <w:tcBorders>
              <w:top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Borders>
              <w:top w:val="single" w:sz="8" w:color="CCEEFF"/>
            </w:tcBorders>
          </w:tcPr>
          <w:p>
            <w:pPr>
              <w:spacing w:after="0"/>
              <w:rPr>
                <w:sz w:val="20"/>
                <w:szCs w:val="20"/>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8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(2,709 )</w:t>
            </w:r>
          </w:p>
        </w:tc>
        <w:tc>
          <w:tcPr>
            <w:tcW w:w="5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(2,854 )</w:t>
            </w:r>
          </w:p>
        </w:tc>
      </w:tr>
      <w:tr>
        <w:trPr>
          <w:trHeight w:val="247"/>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assets and depreciation</w:t>
            </w:r>
          </w:p>
        </w:tc>
        <w:tc>
          <w:tcPr>
            <w:tcW w:w="8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(29 )</w:t>
            </w:r>
          </w:p>
        </w:tc>
        <w:tc>
          <w:tcPr>
            <w:tcW w:w="5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r>
      <w:tr>
        <w:trPr>
          <w:trHeight w:val="20"/>
        </w:trPr>
        <w:tc>
          <w:tcPr>
            <w:tcW w:w="79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(2,738 )</w:t>
            </w:r>
          </w:p>
        </w:tc>
        <w:tc>
          <w:tcPr>
            <w:tcW w:w="5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(2,891 )</w:t>
            </w:r>
          </w:p>
        </w:tc>
      </w:tr>
      <w:tr>
        <w:trPr>
          <w:trHeight w:val="27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-1301115</wp:posOffset>
            </wp:positionV>
            <wp:extent cx="76835" cy="162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162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-984250</wp:posOffset>
            </wp:positionV>
            <wp:extent cx="76835"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-350520</wp:posOffset>
            </wp:positionV>
            <wp:extent cx="76835"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100" w:firstLine="644"/>
        <w:spacing w:after="0" w:line="281" w:lineRule="auto"/>
        <w:rPr>
          <w:sz w:val="20"/>
          <w:szCs w:val="20"/>
          <w:color w:val="auto"/>
        </w:rPr>
      </w:pPr>
      <w:r>
        <w:rPr>
          <w:rFonts w:ascii="Times New Roman" w:cs="Times New Roman" w:eastAsia="Times New Roman" w:hAnsi="Times New Roman"/>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and 2021, the Company had federal net operating loss carryforwards of $174,736 and $159,886, respectively.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Company had state net operating loss carryforwards for New Jersey, California, Massachusetts, and Arizona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$169,847, $4,912, $5,277, and $46, respectively. At December 31, 2021, the Company had state net operating loss carryforwards for New Jersey, California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Massachusetts of approximately $154,972, $4,912, and $4,640 respectively. Federal net operating loss carryforwards of $27,500 expire beginning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2033. State net operating loss carryforwards begin to expire in the year 2033. Net operating loss carryforwards related to tax years after 2017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$147,236 do not expire. The Company also has federal and state research and development credit carryforward of approximately $9,749 and $6,588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 respectively. The federal credits will begin to expire in 2034 if not utilized. The California state credits carryforward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indefinitely and the New Jersey state credits expire starting in 2030. The above net operating losses and research and development credits are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382 and 383 of the Internal Revenue Code. In the event of a change in ownership as defined by these code sections, the usage of the net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and research and development credits may be limited.</w:t>
      </w:r>
    </w:p>
    <w:p>
      <w:pPr>
        <w:spacing w:after="0" w:line="206" w:lineRule="exact"/>
        <w:rPr>
          <w:sz w:val="20"/>
          <w:szCs w:val="20"/>
          <w:color w:val="auto"/>
        </w:rPr>
      </w:pPr>
    </w:p>
    <w:p>
      <w:pPr>
        <w:ind w:right="360" w:firstLine="644"/>
        <w:spacing w:after="0" w:line="265" w:lineRule="auto"/>
        <w:rPr>
          <w:sz w:val="20"/>
          <w:szCs w:val="20"/>
          <w:color w:val="auto"/>
        </w:rPr>
      </w:pPr>
      <w:r>
        <w:rPr>
          <w:rFonts w:ascii="Times New Roman" w:cs="Times New Roman" w:eastAsia="Times New Roman" w:hAnsi="Times New Roman"/>
          <w:sz w:val="18"/>
          <w:szCs w:val="18"/>
          <w:color w:val="212529"/>
        </w:rPr>
        <w:t>The Company accrues interest and penalties related to unrecognized tax benefits in the (benefit) provision for income taxes line item in the statements of operations and comprehensive loss</w:t>
      </w:r>
      <w:r>
        <w:rPr>
          <w:rFonts w:ascii="Times New Roman" w:cs="Times New Roman" w:eastAsia="Times New Roman" w:hAnsi="Times New Roman"/>
          <w:sz w:val="18"/>
          <w:szCs w:val="18"/>
          <w:b w:val="1"/>
          <w:bCs w:val="1"/>
          <w:color w:val="212529"/>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December 31, 2022 and 2021, the Company had not accrued any interest or penalties related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uncertain tax positions.</w:t>
      </w:r>
    </w:p>
    <w:p>
      <w:pPr>
        <w:spacing w:after="0" w:line="177"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If the ending balance of $2,437 and $1,654 of unrecognized tax benefits as of December 31, 2022 and 2021, respectively, were recognized, none of the recognition would affect the income tax rate. The following table summarized the activity related to the Company’s unrecognized tax benefits: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 w:type="dxa"/>
            <w:vAlign w:val="bottom"/>
          </w:tcPr>
          <w:p>
            <w:pPr>
              <w:spacing w:after="0"/>
              <w:rPr>
                <w:sz w:val="16"/>
                <w:szCs w:val="16"/>
                <w:color w:val="auto"/>
              </w:rPr>
            </w:pPr>
          </w:p>
        </w:tc>
      </w:tr>
      <w:tr>
        <w:trPr>
          <w:trHeight w:val="131"/>
        </w:trPr>
        <w:tc>
          <w:tcPr>
            <w:tcW w:w="7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ind w:right="21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r>
      <w:tr>
        <w:trPr>
          <w:trHeight w:val="187"/>
        </w:trPr>
        <w:tc>
          <w:tcPr>
            <w:tcW w:w="7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20"/>
                <w:szCs w:val="20"/>
                <w:color w:val="auto"/>
              </w:rPr>
            </w:pP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20"/>
                <w:szCs w:val="20"/>
                <w:color w:val="auto"/>
              </w:rPr>
            </w:pPr>
          </w:p>
        </w:tc>
      </w:tr>
      <w:tr>
        <w:trPr>
          <w:trHeight w:val="20"/>
        </w:trPr>
        <w:tc>
          <w:tcPr>
            <w:tcW w:w="7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-187960</wp:posOffset>
            </wp:positionV>
            <wp:extent cx="6858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4"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63" w:lineRule="exact"/>
        <w:rPr>
          <w:sz w:val="20"/>
          <w:szCs w:val="20"/>
          <w:color w:val="auto"/>
        </w:rPr>
      </w:pPr>
    </w:p>
    <w:p>
      <w:pPr>
        <w:jc w:val="both"/>
        <w:ind w:right="460" w:firstLine="644"/>
        <w:spacing w:after="0" w:line="265"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statutes of limitations. The Company’s tax years 2013 to 2021 will remain open for examination by the federal and state authorities for three and four years, respectively, from the date of utilization of any net operating losses and research and development credits.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Net Loss per Share</w:t>
      </w:r>
    </w:p>
    <w:p>
      <w:pPr>
        <w:spacing w:after="0" w:line="121" w:lineRule="exact"/>
        <w:rPr>
          <w:sz w:val="20"/>
          <w:szCs w:val="20"/>
          <w:color w:val="auto"/>
        </w:rPr>
      </w:pPr>
    </w:p>
    <w:p>
      <w:pPr>
        <w:ind w:right="40" w:firstLine="644"/>
        <w:spacing w:after="0" w:line="265" w:lineRule="auto"/>
        <w:rPr>
          <w:sz w:val="20"/>
          <w:szCs w:val="20"/>
          <w:color w:val="auto"/>
        </w:rPr>
      </w:pPr>
      <w:r>
        <w:rPr>
          <w:rFonts w:ascii="Times New Roman" w:cs="Times New Roman" w:eastAsia="Times New Roman" w:hAnsi="Times New Roman"/>
          <w:sz w:val="18"/>
          <w:szCs w:val="18"/>
          <w:color w:val="auto"/>
        </w:rPr>
        <w:t>The Company excluded all outstanding stock options and restricted stock units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ind w:left="7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5,278,771</w:t>
            </w:r>
          </w:p>
        </w:tc>
        <w:tc>
          <w:tcPr>
            <w:tcW w:w="34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4,246,007</w:t>
            </w:r>
          </w:p>
        </w:tc>
        <w:tc>
          <w:tcPr>
            <w:tcW w:w="120" w:type="dxa"/>
            <w:vAlign w:val="bottom"/>
            <w:shd w:val="clear" w:color="auto" w:fill="CFF0FC"/>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374,899</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employee stock purchase plan shares</w:t>
            </w:r>
          </w:p>
        </w:tc>
        <w:tc>
          <w:tcPr>
            <w:tcW w:w="14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95,905</w:t>
            </w:r>
          </w:p>
        </w:tc>
        <w:tc>
          <w:tcPr>
            <w:tcW w:w="3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47,066</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5,749,575</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4,293,073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134</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2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-684530</wp:posOffset>
            </wp:positionV>
            <wp:extent cx="76835"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-684530</wp:posOffset>
            </wp:positionV>
            <wp:extent cx="6858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Related Parties</w:t>
      </w:r>
    </w:p>
    <w:p>
      <w:pPr>
        <w:spacing w:after="0" w:line="121" w:lineRule="exact"/>
        <w:rPr>
          <w:sz w:val="20"/>
          <w:szCs w:val="20"/>
          <w:color w:val="auto"/>
        </w:rPr>
      </w:pPr>
    </w:p>
    <w:p>
      <w:pPr>
        <w:ind w:firstLine="644"/>
        <w:spacing w:after="0" w:line="265" w:lineRule="auto"/>
        <w:rPr>
          <w:sz w:val="20"/>
          <w:szCs w:val="20"/>
          <w:color w:val="auto"/>
        </w:rPr>
      </w:pPr>
      <w:r>
        <w:rPr>
          <w:rFonts w:ascii="Times New Roman" w:cs="Times New Roman" w:eastAsia="Times New Roman" w:hAnsi="Times New Roman"/>
          <w:sz w:val="18"/>
          <w:szCs w:val="18"/>
          <w:color w:val="auto"/>
        </w:rPr>
        <w:t>The Company has consulting agreements with two members of its board of directors; one of which waived his consulting fees as of September 2021. Total consulting fees paid in in the year ended December 31, 2022, were $111. There were no amounts owed under the consulting agreements as of December 31, 2022.</w:t>
      </w:r>
    </w:p>
    <w:p>
      <w:pPr>
        <w:spacing w:after="0" w:line="177" w:lineRule="exact"/>
        <w:rPr>
          <w:sz w:val="20"/>
          <w:szCs w:val="20"/>
          <w:color w:val="auto"/>
        </w:rPr>
      </w:pPr>
    </w:p>
    <w:p>
      <w:pPr>
        <w:ind w:right="300" w:firstLine="644"/>
        <w:spacing w:after="0" w:line="265" w:lineRule="auto"/>
        <w:rPr>
          <w:sz w:val="20"/>
          <w:szCs w:val="20"/>
          <w:color w:val="auto"/>
        </w:rPr>
      </w:pPr>
      <w:r>
        <w:rPr>
          <w:rFonts w:ascii="Times New Roman" w:cs="Times New Roman" w:eastAsia="Times New Roman" w:hAnsi="Times New Roman"/>
          <w:sz w:val="18"/>
          <w:szCs w:val="18"/>
          <w:color w:val="auto"/>
        </w:rPr>
        <w:t>Total consulting fees paid as of the year ended December 31, 2021, were $110. In May of 2021, two members of the board of directors were awarded 5,781 options of Company stock each, as per their updated Scientific Advisory Board agreements. There were no amounts owed under the consulting agreements as of December 31, 2021.</w:t>
      </w:r>
    </w:p>
    <w:p>
      <w:pPr>
        <w:spacing w:after="0" w:line="1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39" w:name="page140"/>
    <w:bookmarkEnd w:id="13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2"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conducted an evaluation, under the supervision and with the participation of our management, including our Chief Executive Officer and Chief Financial Officer, of our disclosure controls and procedures, as such term is defined under Rule 13a-15(e) promulgated under the Securities Exchange Act of 1934, as amended (“the Exchange Act”). Based on this evaluation, our Chief Executive Officer and Chief Financial Officer concluded that our disclosure controls and procedures were effective at the reasonable assurance level as of the end of the period covered by this Annual Report on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firstLine="644"/>
        <w:spacing w:after="0" w:line="276" w:lineRule="auto"/>
        <w:rPr>
          <w:sz w:val="20"/>
          <w:szCs w:val="20"/>
          <w:color w:val="auto"/>
        </w:rPr>
      </w:pPr>
      <w:r>
        <w:rPr>
          <w:rFonts w:ascii="Times New Roman" w:cs="Times New Roman" w:eastAsia="Times New Roman" w:hAnsi="Times New Roman"/>
          <w:sz w:val="17"/>
          <w:szCs w:val="17"/>
          <w:color w:val="auto"/>
        </w:rPr>
        <w:t xml:space="preserve">Our management is also responsible for establishing and maintaining for us adequate internal control over financial reporting, as such term is defined in Exchange Act Rule 13a-15(f). Under the supervision and with the participation of our management, including our Chief Executive Officer and Chief Financial Officer, our management conducted an evaluation of the effectiveness of our internal control over financial reporting based on the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Control—Integrated </w:t>
      </w:r>
      <w:r>
        <w:rPr>
          <w:rFonts w:ascii="Times New Roman" w:cs="Times New Roman" w:eastAsia="Times New Roman" w:hAnsi="Times New Roman"/>
          <w:sz w:val="17"/>
          <w:szCs w:val="17"/>
          <w:color w:val="auto"/>
        </w:rPr>
        <w:t>Framework (2013 framework) issued by the Committee of Sponsoring Organizations of the Treadway Commission. Based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evaluation under this framework, our management concluded that our internal control over financial reporting was effective as of December 31, 2022.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during the fourth quarter of the year ended December 31, 2022 that has materially affected, or is reasonably likely to materially affect, our internal control over financial reporting.</w:t>
      </w:r>
    </w:p>
    <w:p>
      <w:pPr>
        <w:spacing w:after="0" w:line="28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40" w:name="page141"/>
    <w:bookmarkEnd w:id="1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right="80" w:firstLine="644"/>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“Directors and Corporate Governance,” “and “Other Matters—Section 16(a) Beneficial Ownership Reporting Compliance” in our definitive proxy statement for the annual meeting of stockholders to be held in June 2023 to be filed with the SEC on or before April 30, 2023, or the Proxy Statement, and is incorporated herein by reference.</w:t>
      </w:r>
    </w:p>
    <w:p>
      <w:pPr>
        <w:spacing w:after="0" w:line="2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“Executive Compensation,” and “Directors and Corporate Governance”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240" w:firstLine="64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“Beneficial Ownership of Shares of Common Stock” and “Executive Compensation—Equity Compensation Plan Information”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“Certain Relationships and Related Person Transactions” and “Directors and Corporate Governance” in the Proxy Statement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right="640" w:firstLine="64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captions “Ratification of Appointment of Independent Registered Public Accounting Firm” in the Proxy Statement and is incorporated herein by reference.</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gridSpan w:val="11"/>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0" w:type="dxa"/>
            <w:vAlign w:val="bottom"/>
          </w:tcPr>
          <w:p>
            <w:pPr>
              <w:spacing w:after="0"/>
              <w:rPr>
                <w:sz w:val="1"/>
                <w:szCs w:val="1"/>
                <w:color w:val="auto"/>
              </w:rPr>
            </w:pPr>
          </w:p>
        </w:tc>
      </w:tr>
      <w:tr>
        <w:trPr>
          <w:trHeight w:val="431"/>
        </w:trPr>
        <w:tc>
          <w:tcPr>
            <w:tcW w:w="65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0" w:type="dxa"/>
            <w:vAlign w:val="bottom"/>
          </w:tcPr>
          <w:p>
            <w:pPr>
              <w:spacing w:after="0"/>
              <w:rPr>
                <w:sz w:val="1"/>
                <w:szCs w:val="1"/>
                <w:color w:val="auto"/>
              </w:rPr>
            </w:pPr>
          </w:p>
        </w:tc>
      </w:tr>
      <w:tr>
        <w:trPr>
          <w:trHeight w:val="53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1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21"/>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5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Amended and Restated Certificate of Incorporation of the Registrant, as</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8"/>
              </w:rPr>
            </w:pPr>
            <w:hyperlink r:id="rId333">
              <w:r>
                <w:rPr>
                  <w:rFonts w:ascii="Times New Roman" w:cs="Times New Roman" w:eastAsia="Times New Roman" w:hAnsi="Times New Roman"/>
                  <w:sz w:val="18"/>
                  <w:szCs w:val="18"/>
                  <w:color w:val="0000FF"/>
                  <w:w w:val="98"/>
                </w:rPr>
                <w:t>amended, as currently in effect.</w:t>
              </w:r>
            </w:hyperlink>
          </w:p>
        </w:tc>
        <w:tc>
          <w:tcPr>
            <w:tcW w:w="31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380" w:type="dxa"/>
            <w:vAlign w:val="bottom"/>
            <w:gridSpan w:val="27"/>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Amended and Restated Bylaws of the Registrant, as currently in effect.</w:t>
              </w:r>
            </w:hyperlink>
          </w:p>
        </w:tc>
        <w:tc>
          <w:tcPr>
            <w:tcW w:w="0" w:type="dxa"/>
            <w:vAlign w:val="bottom"/>
          </w:tcPr>
          <w:p>
            <w:pPr>
              <w:spacing w:after="0"/>
              <w:rPr>
                <w:sz w:val="1"/>
                <w:szCs w:val="1"/>
                <w:color w:val="auto"/>
              </w:rPr>
            </w:pPr>
          </w:p>
        </w:tc>
      </w:tr>
      <w:tr>
        <w:trPr>
          <w:trHeight w:val="587"/>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120" w:type="dxa"/>
            <w:vAlign w:val="bottom"/>
            <w:tcBorders>
              <w:top w:val="single" w:sz="8" w:color="0000FF"/>
              <w:bottom w:val="single" w:sz="8" w:color="0000EE"/>
            </w:tcBorders>
            <w:gridSpan w:val="15"/>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Description of Securities of the Registrant.</w:t>
              </w:r>
            </w:hyperlink>
          </w:p>
        </w:tc>
        <w:tc>
          <w:tcPr>
            <w:tcW w:w="1980" w:type="dxa"/>
            <w:vAlign w:val="bottom"/>
            <w:tcBorders>
              <w:top w:val="single" w:sz="8" w:color="0000FF"/>
            </w:tcBorders>
            <w:gridSpan w:val="7"/>
          </w:tcPr>
          <w:p>
            <w:pPr>
              <w:spacing w:after="0"/>
              <w:rPr>
                <w:sz w:val="24"/>
                <w:szCs w:val="24"/>
                <w:color w:val="auto"/>
              </w:rPr>
            </w:pPr>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53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Amended and Restated Investors’ Rights Agreement, dated July 17, 2020,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27"/>
          </w:tcPr>
          <w:p>
            <w:pPr>
              <w:spacing w:after="0" w:line="195"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by and among the Registrant and certain of its stockholders.</w:t>
              </w:r>
            </w:hyperlink>
          </w:p>
        </w:tc>
        <w:tc>
          <w:tcPr>
            <w:tcW w:w="0" w:type="dxa"/>
            <w:vAlign w:val="bottom"/>
          </w:tcPr>
          <w:p>
            <w:pPr>
              <w:spacing w:after="0"/>
              <w:rPr>
                <w:sz w:val="1"/>
                <w:szCs w:val="1"/>
                <w:color w:val="auto"/>
              </w:rPr>
            </w:pPr>
          </w:p>
        </w:tc>
      </w:tr>
      <w:tr>
        <w:trPr>
          <w:trHeight w:val="37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386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Specimen common stock certificate of the Registrant.</w:t>
              </w:r>
            </w:hyperlink>
          </w:p>
        </w:tc>
        <w:tc>
          <w:tcPr>
            <w:tcW w:w="440" w:type="dxa"/>
            <w:vAlign w:val="bottom"/>
            <w:tcBorders>
              <w:top w:val="single" w:sz="8" w:color="0000FF"/>
            </w:tcBorders>
          </w:tcPr>
          <w:p>
            <w:pPr>
              <w:spacing w:after="0"/>
              <w:rPr>
                <w:sz w:val="24"/>
                <w:szCs w:val="24"/>
                <w:color w:val="auto"/>
              </w:rPr>
            </w:pPr>
          </w:p>
        </w:tc>
        <w:tc>
          <w:tcPr>
            <w:tcW w:w="10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13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338">
              <w:r>
                <w:rPr>
                  <w:rFonts w:ascii="Times New Roman" w:cs="Times New Roman" w:eastAsia="Times New Roman" w:hAnsi="Times New Roman"/>
                  <w:sz w:val="18"/>
                  <w:szCs w:val="18"/>
                  <w:color w:val="0000FF"/>
                  <w:w w:val="98"/>
                </w:rPr>
                <w:t>Form of Indenture.</w:t>
              </w:r>
            </w:hyperlink>
          </w:p>
        </w:tc>
        <w:tc>
          <w:tcPr>
            <w:tcW w:w="20" w:type="dxa"/>
            <w:vAlign w:val="bottom"/>
            <w:tcBorders>
              <w:bottom w:val="single" w:sz="8" w:color="0000EE"/>
            </w:tcBorders>
          </w:tcPr>
          <w:p>
            <w:pPr>
              <w:spacing w:after="0"/>
              <w:rPr>
                <w:sz w:val="24"/>
                <w:szCs w:val="24"/>
                <w:color w:val="auto"/>
              </w:rPr>
            </w:pPr>
          </w:p>
        </w:tc>
        <w:tc>
          <w:tcPr>
            <w:tcW w:w="40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Form of Indemnification Agreement between the Registrant and each of</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its directors and executive officers.</w:t>
              </w:r>
            </w:hyperlink>
          </w:p>
        </w:tc>
        <w:tc>
          <w:tcPr>
            <w:tcW w:w="20" w:type="dxa"/>
            <w:vAlign w:val="bottom"/>
            <w:tcBorders>
              <w:bottom w:val="single" w:sz="8" w:color="0000EE"/>
            </w:tcBorders>
          </w:tcPr>
          <w:p>
            <w:pPr>
              <w:spacing w:after="0"/>
              <w:rPr>
                <w:sz w:val="17"/>
                <w:szCs w:val="17"/>
                <w:color w:val="auto"/>
              </w:rPr>
            </w:pPr>
          </w:p>
        </w:tc>
        <w:tc>
          <w:tcPr>
            <w:tcW w:w="28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47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2013 Equity Incentive Plan, as amended, and forms of agreement</w:t>
              </w:r>
            </w:hyperlink>
          </w:p>
        </w:tc>
        <w:tc>
          <w:tcPr>
            <w:tcW w:w="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5"/>
              </w:rPr>
            </w:pPr>
            <w:hyperlink r:id="rId340">
              <w:r>
                <w:rPr>
                  <w:rFonts w:ascii="Times New Roman" w:cs="Times New Roman" w:eastAsia="Times New Roman" w:hAnsi="Times New Roman"/>
                  <w:sz w:val="18"/>
                  <w:szCs w:val="18"/>
                  <w:color w:val="0000FF"/>
                  <w:w w:val="95"/>
                </w:rPr>
                <w:t>thereunder.</w:t>
              </w:r>
            </w:hyperlink>
          </w:p>
        </w:tc>
        <w:tc>
          <w:tcPr>
            <w:tcW w:w="20" w:type="dxa"/>
            <w:vAlign w:val="bottom"/>
            <w:tcBorders>
              <w:bottom w:val="single" w:sz="8" w:color="0000EE"/>
            </w:tcBorders>
          </w:tcPr>
          <w:p>
            <w:pPr>
              <w:spacing w:after="0"/>
              <w:rPr>
                <w:sz w:val="17"/>
                <w:szCs w:val="17"/>
                <w:color w:val="auto"/>
              </w:rPr>
            </w:pPr>
          </w:p>
        </w:tc>
        <w:tc>
          <w:tcPr>
            <w:tcW w:w="45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46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2020 Equity Incentive Plan and forms of agreements thereunder.</w:t>
              </w:r>
            </w:hyperlink>
          </w:p>
        </w:tc>
        <w:tc>
          <w:tcPr>
            <w:tcW w:w="20" w:type="dxa"/>
            <w:vAlign w:val="bottom"/>
            <w:tcBorders>
              <w:bottom w:val="single" w:sz="8" w:color="0000EE"/>
            </w:tcBorders>
          </w:tcPr>
          <w:p>
            <w:pPr>
              <w:spacing w:after="0"/>
              <w:rPr>
                <w:sz w:val="24"/>
                <w:szCs w:val="24"/>
                <w:color w:val="auto"/>
              </w:rPr>
            </w:pPr>
          </w:p>
        </w:tc>
        <w:tc>
          <w:tcPr>
            <w:tcW w:w="7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3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2020 Employee Stock Purchase Plan and forms of agreements thereunder.</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5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Employment Offer Letter, dated August 17, 2020, by and between the</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Registrant and David H. Mack, Ph.D.</w:t>
              </w:r>
            </w:hyperlink>
          </w:p>
        </w:tc>
        <w:tc>
          <w:tcPr>
            <w:tcW w:w="20" w:type="dxa"/>
            <w:vAlign w:val="bottom"/>
            <w:tcBorders>
              <w:bottom w:val="single" w:sz="8" w:color="0000EE"/>
            </w:tcBorders>
          </w:tcPr>
          <w:p>
            <w:pPr>
              <w:spacing w:after="0"/>
              <w:rPr>
                <w:sz w:val="17"/>
                <w:szCs w:val="17"/>
                <w:color w:val="auto"/>
              </w:rPr>
            </w:pPr>
          </w:p>
        </w:tc>
        <w:tc>
          <w:tcPr>
            <w:tcW w:w="2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5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Employment Offer Letter, dated August 17, 2020, by and between the</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27"/>
          </w:tcPr>
          <w:p>
            <w:pPr>
              <w:spacing w:after="0" w:line="195"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Registrant and Winston Kung.</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5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Employment Offer Letter, dated August 18, 2020, by and between the</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8"/>
              </w:rPr>
            </w:pPr>
            <w:hyperlink r:id="rId345">
              <w:r>
                <w:rPr>
                  <w:rFonts w:ascii="Times New Roman" w:cs="Times New Roman" w:eastAsia="Times New Roman" w:hAnsi="Times New Roman"/>
                  <w:sz w:val="18"/>
                  <w:szCs w:val="18"/>
                  <w:color w:val="0000FF"/>
                  <w:w w:val="98"/>
                </w:rPr>
                <w:t>Registrant and Leila Alland, M.D.</w:t>
              </w:r>
            </w:hyperlink>
          </w:p>
        </w:tc>
        <w:tc>
          <w:tcPr>
            <w:tcW w:w="20" w:type="dxa"/>
            <w:vAlign w:val="bottom"/>
            <w:tcBorders>
              <w:bottom w:val="single" w:sz="8" w:color="0000EE"/>
            </w:tcBorders>
          </w:tcPr>
          <w:p>
            <w:pPr>
              <w:spacing w:after="0"/>
              <w:rPr>
                <w:sz w:val="17"/>
                <w:szCs w:val="17"/>
                <w:color w:val="auto"/>
              </w:rPr>
            </w:pPr>
          </w:p>
        </w:tc>
        <w:tc>
          <w:tcPr>
            <w:tcW w:w="29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5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Employment Offer Letter, dated February 22, 2021, by and between the</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27"/>
          </w:tcPr>
          <w:p>
            <w:pPr>
              <w:spacing w:after="0" w:line="195"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Registrant and Deepika Jalota, Pharm.D.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EE"/>
            </w:tcBorders>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29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347">
              <w:r>
                <w:rPr>
                  <w:rFonts w:ascii="Times New Roman" w:cs="Times New Roman" w:eastAsia="Times New Roman" w:hAnsi="Times New Roman"/>
                  <w:sz w:val="18"/>
                  <w:szCs w:val="18"/>
                  <w:color w:val="0000FF"/>
                  <w:w w:val="98"/>
                </w:rPr>
                <w:t>Employee Incentive Compensation Plan.</w:t>
              </w:r>
            </w:hyperlink>
          </w:p>
        </w:tc>
        <w:tc>
          <w:tcPr>
            <w:tcW w:w="20" w:type="dxa"/>
            <w:vAlign w:val="bottom"/>
            <w:tcBorders>
              <w:bottom w:val="single" w:sz="8" w:color="0000EE"/>
            </w:tcBorders>
          </w:tcPr>
          <w:p>
            <w:pPr>
              <w:spacing w:after="0"/>
              <w:rPr>
                <w:sz w:val="24"/>
                <w:szCs w:val="24"/>
                <w:color w:val="auto"/>
              </w:rPr>
            </w:pPr>
          </w:p>
        </w:tc>
        <w:tc>
          <w:tcPr>
            <w:tcW w:w="2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348">
              <w:r>
                <w:rPr>
                  <w:rFonts w:ascii="Times New Roman" w:cs="Times New Roman" w:eastAsia="Times New Roman" w:hAnsi="Times New Roman"/>
                  <w:sz w:val="18"/>
                  <w:szCs w:val="18"/>
                  <w:color w:val="0000FF"/>
                  <w:w w:val="98"/>
                </w:rPr>
                <w:t>Change in Control and Severance Policy.</w:t>
              </w:r>
            </w:hyperlink>
          </w:p>
        </w:tc>
        <w:tc>
          <w:tcPr>
            <w:tcW w:w="2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830"/>
        </w:trPr>
        <w:tc>
          <w:tcPr>
            <w:tcW w:w="1020" w:type="dxa"/>
            <w:vAlign w:val="bottom"/>
          </w:tcPr>
          <w:p>
            <w:pPr>
              <w:spacing w:after="0"/>
              <w:rPr>
                <w:sz w:val="24"/>
                <w:szCs w:val="24"/>
                <w:color w:val="auto"/>
              </w:rPr>
            </w:pPr>
          </w:p>
        </w:tc>
        <w:tc>
          <w:tcPr>
            <w:tcW w:w="4780" w:type="dxa"/>
            <w:vAlign w:val="bottom"/>
            <w:gridSpan w:val="19"/>
          </w:tcPr>
          <w:p>
            <w:pPr>
              <w:jc w:val="center"/>
              <w:ind w:left="433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 w:type="dxa"/>
            <w:vAlign w:val="bottom"/>
          </w:tcPr>
          <w:p>
            <w:pPr>
              <w:spacing w:after="0"/>
              <w:rPr>
                <w:sz w:val="16"/>
                <w:szCs w:val="16"/>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5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29,</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7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29,</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5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March 3, 2021</w:t>
            </w:r>
          </w:p>
        </w:tc>
      </w:tr>
      <w:tr>
        <w:trPr>
          <w:trHeight w:val="6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8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S-3ASR</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333-260012</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October 4, 2021</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58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7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7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24"/>
                <w:szCs w:val="24"/>
                <w:color w:val="auto"/>
              </w:rPr>
            </w:pPr>
          </w:p>
        </w:tc>
        <w:tc>
          <w:tcPr>
            <w:tcW w:w="15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September 21,</w:t>
            </w: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6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10.6</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6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10.7</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6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001-39539</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10.8</w:t>
            </w:r>
          </w:p>
        </w:tc>
        <w:tc>
          <w:tcPr>
            <w:tcW w:w="120" w:type="dxa"/>
            <w:vAlign w:val="bottom"/>
          </w:tcPr>
          <w:p>
            <w:pPr>
              <w:spacing w:after="0"/>
              <w:rPr>
                <w:sz w:val="24"/>
                <w:szCs w:val="24"/>
                <w:color w:val="auto"/>
              </w:rPr>
            </w:pPr>
          </w:p>
        </w:tc>
        <w:tc>
          <w:tcPr>
            <w:tcW w:w="15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March 1, 2022</w:t>
            </w:r>
          </w:p>
        </w:tc>
      </w:tr>
      <w:tr>
        <w:trPr>
          <w:trHeight w:val="6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5"/>
              </w:rPr>
              <w:t>10.9</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6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333-248627</w:t>
            </w:r>
          </w:p>
        </w:tc>
        <w:tc>
          <w:tcPr>
            <w:tcW w:w="10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5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4, 2020</w:t>
            </w:r>
          </w:p>
        </w:tc>
      </w:tr>
    </w:tbl>
    <w:p>
      <w:pPr>
        <w:sectPr>
          <w:pgSz w:w="11900" w:h="16838" w:orient="portrait"/>
          <w:cols w:equalWidth="0" w:num="2">
            <w:col w:w="6540" w:space="120"/>
            <w:col w:w="4580"/>
          </w:cols>
          <w:pgMar w:left="320" w:top="333"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300" w:type="dxa"/>
            <w:vAlign w:val="bottom"/>
            <w:gridSpan w:val="19"/>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Amended and Restated Change in Control and Severance Policy</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Participation Agreement, dated August 17, 2020, by and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Registrant and David H. Mack, Ph.D.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300" w:type="dxa"/>
            <w:vAlign w:val="bottom"/>
            <w:gridSpan w:val="19"/>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Amended and Restated Change in Control and Severance Policy</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Participation Agreement, dated August 17, 2020, by and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Registrant and Winston Kung.</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300" w:type="dxa"/>
            <w:vAlign w:val="bottom"/>
            <w:gridSpan w:val="19"/>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Amended and Restated Change in Control and Severance Policy</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Participation Agreement, dated August 18, 2020, by and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Registrant and Leila Alland, M.D.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300" w:type="dxa"/>
            <w:vAlign w:val="bottom"/>
            <w:gridSpan w:val="19"/>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Amended and Restated Change in Control and Severance Policy</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Participation Agreement, dated January 14, 2022, by and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Registrant and Deepika Jalota, Pharm.D.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Amended Outside Director Compensation Policy.</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300" w:type="dxa"/>
            <w:vAlign w:val="bottom"/>
            <w:gridSpan w:val="19"/>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Consulting Agreement, dated January 1, 2016, by and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Registrant and Arnold Levine, Ph.D.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300" w:type="dxa"/>
            <w:vAlign w:val="bottom"/>
            <w:gridSpan w:val="19"/>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Consulting Agreement, dated May 21, 2021, by and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5"/>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Registrant and Richard Heyman, Ph.D., as amended on July 16, 2021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5"/>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300" w:type="dxa"/>
            <w:vAlign w:val="bottom"/>
            <w:gridSpan w:val="19"/>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Lease Agreement, dated March 3, 2015, by and between the Registrant</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5"/>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and Cedar Brook 2005, LP, as amended by the First Amendment to Lease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5"/>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dated April 24, 2017.</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300" w:type="dxa"/>
            <w:vAlign w:val="bottom"/>
            <w:gridSpan w:val="19"/>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Lease Agreement, dated January 8, 2021, by and between the Registrant</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5"/>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and BMR-ONE RESEARCH WAY LLC.</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EE"/>
            </w:tcBorders>
            <w:gridSpan w:val="5"/>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300" w:type="dxa"/>
            <w:vAlign w:val="bottom"/>
            <w:gridSpan w:val="19"/>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Open Market Sale Agreement, dated as of October 4, 2021, between the</w:t>
              </w:r>
            </w:hyperlink>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2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Registrant and Jefferies LLC</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300" w:type="dxa"/>
            <w:vAlign w:val="bottom"/>
            <w:gridSpan w:val="19"/>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List of Subsidiaries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8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18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Power of Attorney (contained in the signature page to this Annual Report</w:t>
            </w:r>
          </w:p>
        </w:tc>
      </w:tr>
      <w:tr>
        <w:trPr>
          <w:trHeight w:val="20"/>
        </w:trPr>
        <w:tc>
          <w:tcPr>
            <w:tcW w:w="11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180" w:type="dxa"/>
            <w:vAlign w:val="bottom"/>
            <w:gridSpan w:val="10"/>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on Form 10-K).</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180" w:type="dxa"/>
            <w:vAlign w:val="bottom"/>
            <w:gridSpan w:val="10"/>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r>
      <w:tr>
        <w:trPr>
          <w:trHeight w:val="20"/>
        </w:trPr>
        <w:tc>
          <w:tcPr>
            <w:tcW w:w="1160" w:type="dxa"/>
            <w:vAlign w:val="bottom"/>
          </w:tcPr>
          <w:p>
            <w:pPr>
              <w:spacing w:after="0" w:line="20" w:lineRule="exact"/>
              <w:rPr>
                <w:sz w:val="1"/>
                <w:szCs w:val="1"/>
                <w:color w:val="auto"/>
              </w:rPr>
            </w:pPr>
          </w:p>
        </w:tc>
        <w:tc>
          <w:tcPr>
            <w:tcW w:w="4280" w:type="dxa"/>
            <w:vAlign w:val="bottom"/>
            <w:gridSpan w:val="11"/>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r>
      <w:tr>
        <w:trPr>
          <w:trHeight w:val="20"/>
        </w:trPr>
        <w:tc>
          <w:tcPr>
            <w:tcW w:w="1160" w:type="dxa"/>
            <w:vAlign w:val="bottom"/>
          </w:tcPr>
          <w:p>
            <w:pPr>
              <w:spacing w:after="0" w:line="20" w:lineRule="exact"/>
              <w:rPr>
                <w:sz w:val="1"/>
                <w:szCs w:val="1"/>
                <w:color w:val="auto"/>
              </w:rPr>
            </w:pPr>
          </w:p>
        </w:tc>
        <w:tc>
          <w:tcPr>
            <w:tcW w:w="4280" w:type="dxa"/>
            <w:vAlign w:val="bottom"/>
            <w:gridSpan w:val="11"/>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280" w:type="dxa"/>
            <w:vAlign w:val="bottom"/>
            <w:gridSpan w:val="11"/>
            <w:shd w:val="clear" w:color="auto" w:fill="0000FF"/>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r>
      <w:tr>
        <w:trPr>
          <w:trHeight w:val="20"/>
        </w:trPr>
        <w:tc>
          <w:tcPr>
            <w:tcW w:w="1160" w:type="dxa"/>
            <w:vAlign w:val="bottom"/>
          </w:tcPr>
          <w:p>
            <w:pPr>
              <w:spacing w:after="0" w:line="20" w:lineRule="exact"/>
              <w:rPr>
                <w:sz w:val="1"/>
                <w:szCs w:val="1"/>
                <w:color w:val="auto"/>
              </w:rPr>
            </w:pPr>
          </w:p>
        </w:tc>
        <w:tc>
          <w:tcPr>
            <w:tcW w:w="5140" w:type="dxa"/>
            <w:vAlign w:val="bottom"/>
            <w:gridSpan w:val="17"/>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r>
      <w:tr>
        <w:trPr>
          <w:trHeight w:val="20"/>
        </w:trPr>
        <w:tc>
          <w:tcPr>
            <w:tcW w:w="1160" w:type="dxa"/>
            <w:vAlign w:val="bottom"/>
          </w:tcPr>
          <w:p>
            <w:pPr>
              <w:spacing w:after="0" w:line="20" w:lineRule="exact"/>
              <w:rPr>
                <w:sz w:val="1"/>
                <w:szCs w:val="1"/>
                <w:color w:val="auto"/>
              </w:rPr>
            </w:pPr>
          </w:p>
        </w:tc>
        <w:tc>
          <w:tcPr>
            <w:tcW w:w="5060" w:type="dxa"/>
            <w:vAlign w:val="bottom"/>
            <w:gridSpan w:val="16"/>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614"/>
        </w:trPr>
        <w:tc>
          <w:tcPr>
            <w:tcW w:w="1160" w:type="dxa"/>
            <w:vAlign w:val="bottom"/>
          </w:tcPr>
          <w:p>
            <w:pPr>
              <w:spacing w:after="0"/>
              <w:rPr>
                <w:sz w:val="24"/>
                <w:szCs w:val="24"/>
                <w:color w:val="auto"/>
              </w:rPr>
            </w:pPr>
          </w:p>
        </w:tc>
        <w:tc>
          <w:tcPr>
            <w:tcW w:w="4280" w:type="dxa"/>
            <w:vAlign w:val="bottom"/>
            <w:tcBorders>
              <w:top w:val="single" w:sz="8" w:color="0000FF"/>
            </w:tcBorders>
            <w:gridSpan w:val="11"/>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34"/>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333-248627</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10.11</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82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333-248627</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10.12</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82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333-248627</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10.13</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82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10.14</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333-248627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607"/>
        </w:trPr>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1, 2022</w:t>
            </w:r>
          </w:p>
        </w:tc>
      </w:tr>
      <w:tr>
        <w:trPr>
          <w:trHeight w:val="607"/>
        </w:trPr>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333-248627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September 4, 2020</w:t>
            </w:r>
          </w:p>
        </w:tc>
      </w:tr>
      <w:tr>
        <w:trPr>
          <w:trHeight w:val="823"/>
        </w:trPr>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3, 2021</w:t>
            </w:r>
          </w:p>
        </w:tc>
      </w:tr>
      <w:tr>
        <w:trPr>
          <w:trHeight w:val="607"/>
        </w:trPr>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S-3ASR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333-260012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October 4, 2021</w:t>
            </w:r>
          </w:p>
        </w:tc>
      </w:tr>
      <w:tr>
        <w:trPr>
          <w:trHeight w:val="607"/>
        </w:trPr>
        <w:tc>
          <w:tcPr>
            <w:tcW w:w="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1, 2022</w:t>
            </w:r>
          </w:p>
        </w:tc>
      </w:tr>
    </w:tbl>
    <w:p>
      <w:pPr>
        <w:sectPr>
          <w:pgSz w:w="11900" w:h="16838" w:orient="portrait"/>
          <w:cols w:equalWidth="0" w:num="2">
            <w:col w:w="6460" w:space="280"/>
            <w:col w:w="4340"/>
          </w:cols>
          <w:pgMar w:left="340" w:top="337" w:right="479" w:bottom="1440" w:gutter="0" w:footer="0" w:header="0"/>
        </w:sectPr>
      </w:pPr>
    </w:p>
    <w:bookmarkStart w:id="143" w:name="page144"/>
    <w:bookmarkEnd w:id="14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FF"/>
                <w:w w:val="88"/>
              </w:rPr>
              <w:t>2002.</w:t>
            </w:r>
          </w:p>
        </w:tc>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r>
      <w:tr>
        <w:trPr>
          <w:trHeight w:val="20"/>
        </w:trPr>
        <w:tc>
          <w:tcPr>
            <w:tcW w:w="116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4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FF"/>
                <w:w w:val="88"/>
              </w:rPr>
              <w:t>2002.</w:t>
            </w:r>
          </w:p>
        </w:tc>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r>
      <w:tr>
        <w:trPr>
          <w:trHeight w:val="39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w:t>
            </w:r>
          </w:p>
        </w:tc>
      </w:tr>
      <w:tr>
        <w:trPr>
          <w:trHeight w:val="216"/>
        </w:trPr>
        <w:tc>
          <w:tcPr>
            <w:tcW w:w="116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the Interactive Data File because XBRL tags are embedded within the</w:t>
            </w:r>
          </w:p>
        </w:tc>
      </w:tr>
      <w:tr>
        <w:trPr>
          <w:trHeight w:val="234"/>
        </w:trPr>
        <w:tc>
          <w:tcPr>
            <w:tcW w:w="1160" w:type="dxa"/>
            <w:vAlign w:val="bottom"/>
          </w:tcPr>
          <w:p>
            <w:pPr>
              <w:spacing w:after="0"/>
              <w:rPr>
                <w:sz w:val="20"/>
                <w:szCs w:val="20"/>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57" w:lineRule="exact"/>
        <w:rPr>
          <w:sz w:val="20"/>
          <w:szCs w:val="20"/>
          <w:color w:val="auto"/>
        </w:rPr>
      </w:pPr>
    </w:p>
    <w:p>
      <w:pPr>
        <w:ind w:left="1160" w:right="4700" w:hanging="1139"/>
        <w:spacing w:after="0" w:line="312" w:lineRule="auto"/>
        <w:tabs>
          <w:tab w:leader="none" w:pos="116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1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9005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05"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Indicated management contract or compensatory plan.</w:t>
      </w:r>
    </w:p>
    <w:p>
      <w:pPr>
        <w:spacing w:after="0" w:line="143" w:lineRule="exact"/>
        <w:rPr>
          <w:sz w:val="20"/>
          <w:szCs w:val="20"/>
          <w:color w:val="auto"/>
        </w:rPr>
      </w:pPr>
    </w:p>
    <w:p>
      <w:pPr>
        <w:ind w:firstLine="8"/>
        <w:spacing w:after="0" w:line="338" w:lineRule="auto"/>
        <w:tabs>
          <w:tab w:leader="none" w:pos="1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not to include summary information.</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1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82"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26035</wp:posOffset>
            </wp:positionV>
            <wp:extent cx="318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3185160" cy="8255"/>
                    </a:xfrm>
                    <a:prstGeom prst="rect">
                      <a:avLst/>
                    </a:prstGeom>
                    <a:noFill/>
                  </pic:spPr>
                </pic:pic>
              </a:graphicData>
            </a:graphic>
          </wp:anchor>
        </w:drawing>
      </w:r>
    </w:p>
    <w:p>
      <w:pPr>
        <w:spacing w:after="0" w:line="23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4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38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H. Mack, Ph.D. and Winston Kung, jointly and each one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her substitute or substitutes, may lawfully do or cause to be done by virtue hereof.</w:t>
      </w:r>
    </w:p>
    <w:p>
      <w:pPr>
        <w:spacing w:after="0" w:line="213"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5"/>
                <w:szCs w:val="15"/>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0" w:type="dxa"/>
            <w:vAlign w:val="bottom"/>
          </w:tcPr>
          <w:p>
            <w:pPr>
              <w:spacing w:after="0"/>
              <w:rPr>
                <w:sz w:val="15"/>
                <w:szCs w:val="15"/>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32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David H. Mack, Ph.D.</w:t>
            </w:r>
          </w:p>
        </w:tc>
        <w:tc>
          <w:tcPr>
            <w:tcW w:w="140" w:type="dxa"/>
            <w:vAlign w:val="bottom"/>
          </w:tcPr>
          <w:p>
            <w:pPr>
              <w:spacing w:after="0"/>
              <w:rPr>
                <w:sz w:val="15"/>
                <w:szCs w:val="15"/>
                <w:color w:val="auto"/>
              </w:rPr>
            </w:pPr>
          </w:p>
        </w:tc>
        <w:tc>
          <w:tcPr>
            <w:tcW w:w="44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4"/>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Winston Kung</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32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Winston Kung</w:t>
            </w:r>
          </w:p>
        </w:tc>
        <w:tc>
          <w:tcPr>
            <w:tcW w:w="140" w:type="dxa"/>
            <w:vAlign w:val="bottom"/>
          </w:tcPr>
          <w:p>
            <w:pPr>
              <w:spacing w:after="0"/>
              <w:rPr>
                <w:sz w:val="15"/>
                <w:szCs w:val="15"/>
                <w:color w:val="auto"/>
              </w:rPr>
            </w:pPr>
          </w:p>
        </w:tc>
        <w:tc>
          <w:tcPr>
            <w:tcW w:w="44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and Chief Financial Officer</w:t>
            </w: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4"/>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Heyman</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Chairman of the Board of</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Heyman, Ph.D.</w:t>
            </w:r>
          </w:p>
        </w:tc>
        <w:tc>
          <w:tcPr>
            <w:tcW w:w="1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Directors</w:t>
            </w: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Arnold Levine</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Arnold Levine, Ph.D.</w:t>
            </w: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 Gallagher</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Carol Gallagher, Ph.D.</w:t>
            </w: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Laurie Stelzer</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Laurie Stelzer</w:t>
            </w: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M. Baum</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M. Baum, MD., Ph.D.</w:t>
            </w:r>
          </w:p>
        </w:tc>
        <w:tc>
          <w:tcPr>
            <w:tcW w:w="1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1"/>
        </w:trPr>
        <w:tc>
          <w:tcPr>
            <w:tcW w:w="2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Kirsten Flowers</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2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Kirsten Flowers</w:t>
            </w:r>
          </w:p>
        </w:tc>
        <w:tc>
          <w:tcPr>
            <w:tcW w:w="1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61"/>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b w:val="1"/>
          <w:bCs w:val="1"/>
          <w:i w:val="1"/>
          <w:iCs w:val="1"/>
          <w:color w:val="auto"/>
        </w:rPr>
        <w:t>Reviewed &amp; Updated by PMV Board as of:</w:t>
      </w:r>
    </w:p>
    <w:p>
      <w:pPr>
        <w:spacing w:after="0" w:line="4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0"/>
          <w:szCs w:val="20"/>
          <w:b w:val="1"/>
          <w:bCs w:val="1"/>
          <w:i w:val="1"/>
          <w:iCs w:val="1"/>
          <w:color w:val="auto"/>
        </w:rPr>
        <w:t>February 24, 2023 (“Updated Effective Date”)</w:t>
      </w:r>
    </w:p>
    <w:p>
      <w:pPr>
        <w:spacing w:after="0" w:line="271" w:lineRule="exact"/>
        <w:rPr>
          <w:sz w:val="20"/>
          <w:szCs w:val="20"/>
          <w:color w:val="auto"/>
        </w:rPr>
      </w:pPr>
    </w:p>
    <w:p>
      <w:pPr>
        <w:ind w:left="2200" w:right="2320" w:firstLine="921"/>
        <w:spacing w:after="0" w:line="243" w:lineRule="auto"/>
        <w:rPr>
          <w:sz w:val="20"/>
          <w:szCs w:val="20"/>
          <w:color w:val="auto"/>
        </w:rPr>
      </w:pPr>
      <w:r>
        <w:rPr>
          <w:rFonts w:ascii="Times New Roman" w:cs="Times New Roman" w:eastAsia="Times New Roman" w:hAnsi="Times New Roman"/>
          <w:sz w:val="22"/>
          <w:szCs w:val="22"/>
          <w:b w:val="1"/>
          <w:bCs w:val="1"/>
          <w:color w:val="auto"/>
        </w:rPr>
        <w:t>PMV PHARMACEUTICALS, INC. OUTSIDE DIRECTOR COMPENSATION POLICY</w:t>
      </w:r>
    </w:p>
    <w:p>
      <w:pPr>
        <w:spacing w:after="0" w:line="1" w:lineRule="exact"/>
        <w:rPr>
          <w:sz w:val="20"/>
          <w:szCs w:val="20"/>
          <w:color w:val="auto"/>
        </w:rPr>
      </w:pPr>
    </w:p>
    <w:p>
      <w:pPr>
        <w:jc w:val="both"/>
        <w:ind w:firstLine="747"/>
        <w:spacing w:after="0" w:line="257" w:lineRule="auto"/>
        <w:rPr>
          <w:sz w:val="20"/>
          <w:szCs w:val="20"/>
          <w:color w:val="auto"/>
        </w:rPr>
      </w:pPr>
      <w:r>
        <w:rPr>
          <w:rFonts w:ascii="Times New Roman" w:cs="Times New Roman" w:eastAsia="Times New Roman" w:hAnsi="Times New Roman"/>
          <w:sz w:val="20"/>
          <w:szCs w:val="20"/>
          <w:color w:val="auto"/>
        </w:rPr>
        <w:t>PMV Pharmaceuticals,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believes that providing cash and equity compensation to its members of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members of the Board, the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represents an effective tool to attract, retain and reward Directors who are not employees of the Company (the “</w:t>
      </w:r>
      <w:r>
        <w:rPr>
          <w:rFonts w:ascii="Times New Roman" w:cs="Times New Roman" w:eastAsia="Times New Roman" w:hAnsi="Times New Roman"/>
          <w:sz w:val="20"/>
          <w:szCs w:val="20"/>
          <w:b w:val="1"/>
          <w:bCs w:val="1"/>
          <w:color w:val="auto"/>
        </w:rPr>
        <w:t>Outside Directors</w:t>
      </w:r>
      <w:r>
        <w:rPr>
          <w:rFonts w:ascii="Times New Roman" w:cs="Times New Roman" w:eastAsia="Times New Roman" w:hAnsi="Times New Roman"/>
          <w:sz w:val="20"/>
          <w:szCs w:val="20"/>
          <w:color w:val="auto"/>
        </w:rPr>
        <w:t>”). This Outside Director Compensation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is intended to formalize the Company’s policy regarding the compensation to its Outside Directors. Unless otherwise defined herein, capitalized terms used in this Policy will have the meaning given to such terms in the Company’s 2020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90"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color w:val="auto"/>
        </w:rPr>
        <w:t>Subject to Section 6 of this Policy, this Policy will be effective as of the effective date of the first registration statement that is filed by the Company and declared effective pursuant to Section 12(b) of the Exchange Act, with respect to any class of the Company’s securities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740" w:hanging="373"/>
        <w:spacing w:after="0"/>
        <w:tabs>
          <w:tab w:leader="none" w:pos="74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ash</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Annual Cash Retainer</w:t>
      </w:r>
    </w:p>
    <w:p>
      <w:pPr>
        <w:spacing w:after="0" w:line="236" w:lineRule="exact"/>
        <w:rPr>
          <w:sz w:val="20"/>
          <w:szCs w:val="20"/>
          <w:color w:val="auto"/>
        </w:rPr>
      </w:pPr>
    </w:p>
    <w:p>
      <w:pPr>
        <w:jc w:val="both"/>
        <w:ind w:firstLine="747"/>
        <w:spacing w:after="0" w:line="258" w:lineRule="auto"/>
        <w:rPr>
          <w:sz w:val="20"/>
          <w:szCs w:val="20"/>
          <w:color w:val="auto"/>
        </w:rPr>
      </w:pPr>
      <w:r>
        <w:rPr>
          <w:rFonts w:ascii="Times New Roman" w:cs="Times New Roman" w:eastAsia="Times New Roman" w:hAnsi="Times New Roman"/>
          <w:sz w:val="22"/>
          <w:szCs w:val="22"/>
          <w:color w:val="auto"/>
        </w:rPr>
        <w:t>Each Outside Director will be paid an annual cash retainer of $40,000. There are no per-meeting attendance fees for attending Board meetings. This cash compensation will be paid quarterly in arrears on a prorated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Committee Annual Cash Retainer</w:t>
      </w:r>
    </w:p>
    <w:p>
      <w:pPr>
        <w:spacing w:after="0" w:line="250"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color w:val="auto"/>
        </w:rPr>
        <w:t>Each Outside Director who serves as the chair of the Board, the lead Outside Director, or the chair or a member of a committee of the Board listed below will be eligible to earn additional annual cash fees (paid quarterly in arrears on a prorated basis) as follows: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Chair of the Board $35,000</w:t>
      </w:r>
    </w:p>
    <w:p>
      <w:pPr>
        <w:spacing w:after="0" w:line="246" w:lineRule="exact"/>
        <w:rPr>
          <w:sz w:val="20"/>
          <w:szCs w:val="20"/>
          <w:color w:val="auto"/>
        </w:rPr>
      </w:pPr>
    </w:p>
    <w:p>
      <w:pPr>
        <w:ind w:left="740"/>
        <w:spacing w:after="0"/>
        <w:tabs>
          <w:tab w:leader="none" w:pos="3300" w:val="left"/>
        </w:tabs>
        <w:rPr>
          <w:sz w:val="20"/>
          <w:szCs w:val="20"/>
          <w:color w:val="auto"/>
        </w:rPr>
      </w:pPr>
      <w:r>
        <w:rPr>
          <w:rFonts w:ascii="Times New Roman" w:cs="Times New Roman" w:eastAsia="Times New Roman" w:hAnsi="Times New Roman"/>
          <w:sz w:val="22"/>
          <w:szCs w:val="22"/>
          <w:color w:val="auto"/>
        </w:rPr>
        <w:t>Chair of Audit Committee:</w:t>
        <w:tab/>
        <w:t>$15,000</w:t>
      </w:r>
    </w:p>
    <w:p>
      <w:pPr>
        <w:spacing w:after="0" w:line="246" w:lineRule="exact"/>
        <w:rPr>
          <w:sz w:val="20"/>
          <w:szCs w:val="20"/>
          <w:color w:val="auto"/>
        </w:rPr>
      </w:pPr>
    </w:p>
    <w:tbl>
      <w:tblPr>
        <w:tblLayout w:type="fixed"/>
        <w:tblInd w:w="7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Member of Audit Committee:</w:t>
            </w:r>
          </w:p>
        </w:tc>
        <w:tc>
          <w:tcPr>
            <w:tcW w:w="1360" w:type="dxa"/>
            <w:vAlign w:val="bottom"/>
            <w:gridSpan w:val="2"/>
          </w:tcPr>
          <w:p>
            <w:pPr>
              <w:jc w:val="right"/>
              <w:ind w:right="432"/>
              <w:spacing w:after="0"/>
              <w:rPr>
                <w:sz w:val="20"/>
                <w:szCs w:val="20"/>
                <w:color w:val="auto"/>
              </w:rPr>
            </w:pPr>
            <w:r>
              <w:rPr>
                <w:rFonts w:ascii="Times New Roman" w:cs="Times New Roman" w:eastAsia="Times New Roman" w:hAnsi="Times New Roman"/>
                <w:sz w:val="22"/>
                <w:szCs w:val="22"/>
                <w:color w:val="auto"/>
              </w:rPr>
              <w:t>$7,500</w:t>
            </w:r>
          </w:p>
        </w:tc>
      </w:tr>
      <w:tr>
        <w:trPr>
          <w:trHeight w:val="485"/>
        </w:trPr>
        <w:tc>
          <w:tcPr>
            <w:tcW w:w="3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w:t>
            </w:r>
          </w:p>
        </w:tc>
      </w:tr>
    </w:tbl>
    <w:p>
      <w:pPr>
        <w:spacing w:after="0" w:line="217" w:lineRule="exact"/>
        <w:rPr>
          <w:sz w:val="20"/>
          <w:szCs w:val="20"/>
          <w:color w:val="auto"/>
        </w:rPr>
      </w:pPr>
    </w:p>
    <w:p>
      <w:pPr>
        <w:ind w:left="740"/>
        <w:spacing w:after="0"/>
        <w:tabs>
          <w:tab w:leader="none" w:pos="4600" w:val="left"/>
        </w:tabs>
        <w:rPr>
          <w:sz w:val="20"/>
          <w:szCs w:val="20"/>
          <w:color w:val="auto"/>
        </w:rPr>
      </w:pPr>
      <w:r>
        <w:rPr>
          <w:rFonts w:ascii="Times New Roman" w:cs="Times New Roman" w:eastAsia="Times New Roman" w:hAnsi="Times New Roman"/>
          <w:sz w:val="22"/>
          <w:szCs w:val="22"/>
          <w:color w:val="auto"/>
        </w:rPr>
        <w:t>Member of Compensation Committee:</w:t>
      </w:r>
      <w:r>
        <w:rPr>
          <w:sz w:val="20"/>
          <w:szCs w:val="20"/>
          <w:color w:val="auto"/>
        </w:rPr>
        <w:tab/>
      </w:r>
      <w:r>
        <w:rPr>
          <w:rFonts w:ascii="Times New Roman" w:cs="Times New Roman" w:eastAsia="Times New Roman" w:hAnsi="Times New Roman"/>
          <w:sz w:val="22"/>
          <w:szCs w:val="22"/>
          <w:color w:val="auto"/>
        </w:rPr>
        <w:t>$5,000 Chair of Nominating and Governance</w:t>
      </w:r>
    </w:p>
    <w:p>
      <w:pPr>
        <w:spacing w:after="0" w:line="14"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Committee:</w:t>
        <w:tab/>
        <w:t>$8,000 Member of 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188595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91"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Governance Committee: $4,000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355600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328" w:right="1440" w:bottom="1440" w:gutter="0" w:footer="0" w:header="0"/>
        </w:sectPr>
      </w:pPr>
    </w:p>
    <w:bookmarkStart w:id="147" w:name="page148"/>
    <w:bookmarkEnd w:id="147"/>
    <w:p>
      <w:pPr>
        <w:ind w:left="100" w:right="20" w:firstLine="747"/>
        <w:spacing w:after="0" w:line="258"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shall receive only the additional annual cash fee as the chair of the committee, and not the additional annual cash fee as a member of the committee.</w:t>
      </w:r>
    </w:p>
    <w:p>
      <w:pPr>
        <w:spacing w:after="0" w:line="194" w:lineRule="exact"/>
        <w:rPr>
          <w:sz w:val="20"/>
          <w:szCs w:val="20"/>
          <w:color w:val="auto"/>
        </w:rPr>
      </w:pPr>
    </w:p>
    <w:p>
      <w:pPr>
        <w:ind w:left="840" w:hanging="373"/>
        <w:spacing w:after="0"/>
        <w:tabs>
          <w:tab w:leader="none" w:pos="8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quity</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50" w:lineRule="exact"/>
        <w:rPr>
          <w:sz w:val="20"/>
          <w:szCs w:val="20"/>
          <w:color w:val="auto"/>
        </w:rPr>
      </w:pPr>
    </w:p>
    <w:p>
      <w:pPr>
        <w:jc w:val="both"/>
        <w:ind w:left="100" w:firstLine="747"/>
        <w:spacing w:after="0" w:line="239" w:lineRule="auto"/>
        <w:rPr>
          <w:sz w:val="20"/>
          <w:szCs w:val="20"/>
          <w:color w:val="auto"/>
        </w:rPr>
      </w:pPr>
      <w:r>
        <w:rPr>
          <w:rFonts w:ascii="Times New Roman" w:cs="Times New Roman" w:eastAsia="Times New Roman" w:hAnsi="Times New Roman"/>
          <w:sz w:val="22"/>
          <w:szCs w:val="22"/>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206" w:lineRule="exact"/>
        <w:rPr>
          <w:sz w:val="20"/>
          <w:szCs w:val="20"/>
          <w:color w:val="auto"/>
        </w:rPr>
      </w:pPr>
    </w:p>
    <w:p>
      <w:pPr>
        <w:ind w:left="100" w:right="20" w:firstLine="742"/>
        <w:spacing w:after="0" w:line="258" w:lineRule="auto"/>
        <w:tabs>
          <w:tab w:leader="none" w:pos="1589" w:val="left"/>
        </w:tabs>
        <w:numPr>
          <w:ilvl w:val="0"/>
          <w:numId w:val="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any Awards under this Policy or to determine the number of Shares to be covered by such Awards.</w:t>
      </w:r>
    </w:p>
    <w:p>
      <w:pPr>
        <w:spacing w:after="0" w:line="197" w:lineRule="exact"/>
        <w:rPr>
          <w:rFonts w:ascii="Times New Roman" w:cs="Times New Roman" w:eastAsia="Times New Roman" w:hAnsi="Times New Roman"/>
          <w:sz w:val="22"/>
          <w:szCs w:val="22"/>
          <w:u w:val="single" w:color="auto"/>
          <w:color w:val="auto"/>
        </w:rPr>
      </w:pPr>
    </w:p>
    <w:p>
      <w:pPr>
        <w:jc w:val="both"/>
        <w:ind w:left="100" w:firstLine="742"/>
        <w:spacing w:after="0" w:line="236" w:lineRule="auto"/>
        <w:tabs>
          <w:tab w:leader="none" w:pos="1590" w:val="left"/>
        </w:tabs>
        <w:numPr>
          <w:ilvl w:val="0"/>
          <w:numId w:val="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Following the Updated Effective Date, each individual who becomes a newly appointed Outside Director will be granted an award of stock options (an “</w:t>
      </w:r>
      <w:r>
        <w:rPr>
          <w:rFonts w:ascii="Times New Roman" w:cs="Times New Roman" w:eastAsia="Times New Roman" w:hAnsi="Times New Roman"/>
          <w:sz w:val="22"/>
          <w:szCs w:val="22"/>
          <w:b w:val="1"/>
          <w:bCs w:val="1"/>
          <w:color w:val="auto"/>
        </w:rPr>
        <w:t>Initial Award</w:t>
      </w:r>
      <w:r>
        <w:rPr>
          <w:rFonts w:ascii="Times New Roman" w:cs="Times New Roman" w:eastAsia="Times New Roman" w:hAnsi="Times New Roman"/>
          <w:sz w:val="22"/>
          <w:szCs w:val="22"/>
          <w:color w:val="auto"/>
        </w:rPr>
        <w:t>”) covering 43,000 Shares (subject to adjustment for changes in capitalization under the Plan). The Initial Award will be made on the first trading date on or after the date on which such individual first becomes an Outside Director, whether through election by the stockholders of the Company or appointment by the Board to fill a vacancy. If an individual was a member of the Board and also an employee, becoming an Outside Director due to termination of employment will not entitle the Outside Director to an Initial Award.</w:t>
      </w:r>
    </w:p>
    <w:p>
      <w:pPr>
        <w:spacing w:after="0" w:line="220" w:lineRule="exact"/>
        <w:rPr>
          <w:sz w:val="20"/>
          <w:szCs w:val="20"/>
          <w:color w:val="auto"/>
        </w:rPr>
      </w:pPr>
    </w:p>
    <w:p>
      <w:pPr>
        <w:jc w:val="both"/>
        <w:ind w:left="100" w:firstLine="747"/>
        <w:spacing w:after="0" w:line="239" w:lineRule="auto"/>
        <w:rPr>
          <w:sz w:val="20"/>
          <w:szCs w:val="20"/>
          <w:color w:val="auto"/>
        </w:rPr>
      </w:pPr>
      <w:r>
        <w:rPr>
          <w:rFonts w:ascii="Times New Roman" w:cs="Times New Roman" w:eastAsia="Times New Roman" w:hAnsi="Times New Roman"/>
          <w:sz w:val="22"/>
          <w:szCs w:val="22"/>
          <w:color w:val="auto"/>
        </w:rPr>
        <w:t>Subject to Section 3 of this Policy, each Initial Award will vest in equal amounts on the same day of the month as the date the individual first becomes an Outside Director over the 36 months following the month during which the individual first becomes an Outside Director, subject to the Outside Director continuing to be a Service Provider through the applicable vesting date.</w:t>
      </w:r>
    </w:p>
    <w:p>
      <w:pPr>
        <w:spacing w:after="0" w:line="206" w:lineRule="exact"/>
        <w:rPr>
          <w:sz w:val="20"/>
          <w:szCs w:val="20"/>
          <w:color w:val="auto"/>
        </w:rPr>
      </w:pPr>
    </w:p>
    <w:p>
      <w:pPr>
        <w:jc w:val="both"/>
        <w:ind w:left="100" w:firstLine="742"/>
        <w:spacing w:after="0" w:line="244" w:lineRule="auto"/>
        <w:tabs>
          <w:tab w:leader="none" w:pos="1590" w:val="left"/>
        </w:tabs>
        <w:numPr>
          <w:ilvl w:val="0"/>
          <w:numId w:val="6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the date of each annual meeting of the Company’s stockholders following the Updated Effective Date (each, an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each Outside Director will be automatically granted an award of stock options (an “</w:t>
      </w:r>
      <w:r>
        <w:rPr>
          <w:rFonts w:ascii="Times New Roman" w:cs="Times New Roman" w:eastAsia="Times New Roman" w:hAnsi="Times New Roman"/>
          <w:sz w:val="22"/>
          <w:szCs w:val="22"/>
          <w:b w:val="1"/>
          <w:bCs w:val="1"/>
          <w:color w:val="auto"/>
        </w:rPr>
        <w:t>Annual Award</w:t>
      </w:r>
      <w:r>
        <w:rPr>
          <w:rFonts w:ascii="Times New Roman" w:cs="Times New Roman" w:eastAsia="Times New Roman" w:hAnsi="Times New Roman"/>
          <w:sz w:val="22"/>
          <w:szCs w:val="22"/>
          <w:color w:val="auto"/>
        </w:rPr>
        <w:t>”) covering 21,500 Shares (subject to adjustment for changes in capitalization under the Plan).</w:t>
      </w:r>
    </w:p>
    <w:p>
      <w:pPr>
        <w:spacing w:after="0" w:line="213" w:lineRule="exact"/>
        <w:rPr>
          <w:sz w:val="20"/>
          <w:szCs w:val="20"/>
          <w:color w:val="auto"/>
        </w:rPr>
      </w:pPr>
    </w:p>
    <w:p>
      <w:pPr>
        <w:jc w:val="both"/>
        <w:ind w:left="100" w:firstLine="747"/>
        <w:spacing w:after="0" w:line="239" w:lineRule="auto"/>
        <w:rPr>
          <w:sz w:val="20"/>
          <w:szCs w:val="20"/>
          <w:color w:val="auto"/>
        </w:rPr>
      </w:pPr>
      <w:r>
        <w:rPr>
          <w:rFonts w:ascii="Times New Roman" w:cs="Times New Roman" w:eastAsia="Times New Roman" w:hAnsi="Times New Roman"/>
          <w:sz w:val="22"/>
          <w:szCs w:val="22"/>
          <w:color w:val="auto"/>
        </w:rPr>
        <w:t>Subject to Section 3 of this Policy, each Annual Award will vest on the earlier of (i) the one- 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215" w:lineRule="exact"/>
        <w:rPr>
          <w:sz w:val="20"/>
          <w:szCs w:val="20"/>
          <w:color w:val="auto"/>
        </w:rPr>
      </w:pPr>
    </w:p>
    <w:p>
      <w:pPr>
        <w:ind w:left="840" w:hanging="373"/>
        <w:spacing w:after="0"/>
        <w:tabs>
          <w:tab w:leader="none" w:pos="8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p>
    <w:p>
      <w:pPr>
        <w:spacing w:after="0" w:line="23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In the event of a Change in Control, each Outside Director outstanding Company equity awards will accelerate and</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vest.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95" w:right="459" w:bottom="1440" w:gutter="0" w:footer="0" w:header="0"/>
        </w:sectPr>
      </w:pPr>
    </w:p>
    <w:bookmarkStart w:id="148" w:name="page149"/>
    <w:bookmarkEnd w:id="148"/>
    <w:p>
      <w:pPr>
        <w:ind w:left="840" w:hanging="373"/>
        <w:spacing w:after="0"/>
        <w:tabs>
          <w:tab w:leader="none" w:pos="8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ravel</w:t>
      </w:r>
      <w:r>
        <w:rPr>
          <w:rFonts w:ascii="Times New Roman" w:cs="Times New Roman" w:eastAsia="Times New Roman" w:hAnsi="Times New Roman"/>
          <w:sz w:val="22"/>
          <w:szCs w:val="22"/>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xpenses</w:t>
      </w:r>
    </w:p>
    <w:p>
      <w:pPr>
        <w:spacing w:after="0" w:line="250" w:lineRule="exact"/>
        <w:rPr>
          <w:sz w:val="20"/>
          <w:szCs w:val="20"/>
          <w:color w:val="auto"/>
        </w:rPr>
      </w:pPr>
    </w:p>
    <w:p>
      <w:pPr>
        <w:ind w:left="100" w:firstLine="747"/>
        <w:spacing w:after="0" w:line="258" w:lineRule="auto"/>
        <w:rPr>
          <w:sz w:val="20"/>
          <w:szCs w:val="20"/>
          <w:color w:val="auto"/>
        </w:rPr>
      </w:pPr>
      <w:r>
        <w:rPr>
          <w:rFonts w:ascii="Times New Roman" w:cs="Times New Roman" w:eastAsia="Times New Roman" w:hAnsi="Times New Roman"/>
          <w:sz w:val="22"/>
          <w:szCs w:val="22"/>
          <w:color w:val="auto"/>
        </w:rPr>
        <w:t>Each Outside Director’s reasonable, customary and documented travel expenses to Board or Board committee meetings will be reimbursed by the Company.</w:t>
      </w:r>
    </w:p>
    <w:p>
      <w:pPr>
        <w:spacing w:after="0" w:line="194" w:lineRule="exact"/>
        <w:rPr>
          <w:sz w:val="20"/>
          <w:szCs w:val="20"/>
          <w:color w:val="auto"/>
        </w:rPr>
      </w:pPr>
    </w:p>
    <w:p>
      <w:pPr>
        <w:ind w:left="840" w:hanging="373"/>
        <w:spacing w:after="0"/>
        <w:tabs>
          <w:tab w:leader="none" w:pos="84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dditional</w:t>
      </w:r>
      <w:r>
        <w:rPr>
          <w:rFonts w:ascii="Times New Roman" w:cs="Times New Roman" w:eastAsia="Times New Roman" w:hAnsi="Times New Roman"/>
          <w:sz w:val="22"/>
          <w:szCs w:val="22"/>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rovisions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All provisions of the Plan not inconsistent with this Policy will apply to Awards granted to Outside Directors.</w:t>
      </w:r>
    </w:p>
    <w:p>
      <w:pPr>
        <w:spacing w:after="0" w:line="242" w:lineRule="exact"/>
        <w:rPr>
          <w:sz w:val="20"/>
          <w:szCs w:val="20"/>
          <w:color w:val="auto"/>
        </w:rPr>
      </w:pPr>
    </w:p>
    <w:p>
      <w:pPr>
        <w:ind w:left="840" w:hanging="373"/>
        <w:spacing w:after="0"/>
        <w:tabs>
          <w:tab w:leader="none" w:pos="84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7"/>
          <w:szCs w:val="17"/>
          <w:b w:val="1"/>
          <w:bCs w:val="1"/>
          <w:u w:val="single" w:color="auto"/>
          <w:color w:val="auto"/>
        </w:rPr>
        <w:t>ECTION</w:t>
      </w:r>
      <w:r>
        <w:rPr>
          <w:rFonts w:ascii="Times New Roman" w:cs="Times New Roman" w:eastAsia="Times New Roman" w:hAnsi="Times New Roman"/>
          <w:sz w:val="22"/>
          <w:szCs w:val="22"/>
          <w:b w:val="1"/>
          <w:bCs w:val="1"/>
          <w:u w:val="single" w:color="auto"/>
          <w:color w:val="auto"/>
        </w:rPr>
        <w:t xml:space="preserve"> 409A</w:t>
      </w:r>
    </w:p>
    <w:p>
      <w:pPr>
        <w:spacing w:after="0" w:line="250" w:lineRule="exact"/>
        <w:rPr>
          <w:sz w:val="20"/>
          <w:szCs w:val="20"/>
          <w:color w:val="auto"/>
        </w:rPr>
      </w:pPr>
    </w:p>
    <w:p>
      <w:pPr>
        <w:jc w:val="both"/>
        <w:ind w:left="100" w:firstLine="747"/>
        <w:spacing w:after="0" w:line="234" w:lineRule="auto"/>
        <w:rPr>
          <w:sz w:val="20"/>
          <w:szCs w:val="20"/>
          <w:color w:val="auto"/>
        </w:rPr>
      </w:pPr>
      <w:r>
        <w:rPr>
          <w:rFonts w:ascii="Times New Roman" w:cs="Times New Roman" w:eastAsia="Times New Roman" w:hAnsi="Times New Roman"/>
          <w:sz w:val="22"/>
          <w:szCs w:val="22"/>
          <w:color w:val="auto"/>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172" w:lineRule="exact"/>
        <w:rPr>
          <w:sz w:val="20"/>
          <w:szCs w:val="20"/>
          <w:color w:val="auto"/>
        </w:rPr>
      </w:pPr>
    </w:p>
    <w:p>
      <w:pPr>
        <w:ind w:left="840" w:hanging="373"/>
        <w:spacing w:after="0"/>
        <w:tabs>
          <w:tab w:leader="none" w:pos="84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evisions</w:t>
      </w:r>
    </w:p>
    <w:p>
      <w:pPr>
        <w:spacing w:after="0" w:line="236" w:lineRule="exact"/>
        <w:rPr>
          <w:sz w:val="20"/>
          <w:szCs w:val="20"/>
          <w:color w:val="auto"/>
        </w:rPr>
      </w:pPr>
    </w:p>
    <w:p>
      <w:pPr>
        <w:jc w:val="both"/>
        <w:ind w:left="100" w:firstLine="747"/>
        <w:spacing w:after="0" w:line="236" w:lineRule="auto"/>
        <w:rPr>
          <w:sz w:val="20"/>
          <w:szCs w:val="20"/>
          <w:color w:val="auto"/>
        </w:rPr>
      </w:pPr>
      <w:r>
        <w:rPr>
          <w:rFonts w:ascii="Times New Roman" w:cs="Times New Roman" w:eastAsia="Times New Roman" w:hAnsi="Times New Roman"/>
          <w:sz w:val="22"/>
          <w:szCs w:val="22"/>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91" w:right="459" w:bottom="1440" w:gutter="0" w:footer="0" w:header="0"/>
        </w:sectPr>
      </w:pPr>
    </w:p>
    <w:bookmarkStart w:id="149" w:name="page150"/>
    <w:bookmarkEnd w:id="149"/>
    <w:p>
      <w:pPr>
        <w:ind w:left="72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4"/>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333-260012) of PMV Pharmaceuticals, Inc.,</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333-249094) pertaining to the 2013 Equity Incentive Plan, 2020 Equity Incentive Plan and 2020 Employee Stock Purchase Plan of PMV Pharmaceuticals, Inc.,</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333-256346 and 333-269394) pertaining to the 2020 Equity Incentive Plan and 2020 Employee Stock Purchase Plan of PMV Pharmaceuticals, Inc.,</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333-262308) pertaining to the 2020 Equity Incentive Plan of PMV Pharmaceuticals, Inc.;</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of our report dated March 1, 2023, with respect to the consolidated financial statements of PMV Pharmaceuticals, Inc. included in this Annual Report (Form 10-K) of PMV Pharmaceuticals, Inc. for the year ended December 31, 2022.</w:t>
      </w: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PMV Pharmaceuticals, Inc.;</w:t>
      </w:r>
    </w:p>
    <w:p>
      <w:pPr>
        <w:spacing w:after="0" w:line="224" w:lineRule="exact"/>
        <w:rPr>
          <w:rFonts w:ascii="Times New Roman" w:cs="Times New Roman" w:eastAsia="Times New Roman" w:hAnsi="Times New Roman"/>
          <w:sz w:val="18"/>
          <w:szCs w:val="18"/>
          <w:color w:val="auto"/>
        </w:rPr>
      </w:pPr>
    </w:p>
    <w:p>
      <w:pPr>
        <w:jc w:val="both"/>
        <w:ind w:left="380" w:right="140" w:hanging="372"/>
        <w:spacing w:after="0" w:line="265" w:lineRule="auto"/>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760" w:right="20" w:hanging="378"/>
        <w:spacing w:after="0" w:line="265" w:lineRule="auto"/>
        <w:tabs>
          <w:tab w:leader="none" w:pos="7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120" w:hanging="372"/>
        <w:spacing w:after="0" w:line="281" w:lineRule="auto"/>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15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480" w:type="dxa"/>
            <w:vAlign w:val="bottom"/>
          </w:tcPr>
          <w:p>
            <w:pPr>
              <w:ind w:left="682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H. Mack</w:t>
            </w:r>
          </w:p>
        </w:tc>
        <w:tc>
          <w:tcPr>
            <w:tcW w:w="0" w:type="dxa"/>
            <w:vAlign w:val="bottom"/>
          </w:tcPr>
          <w:p>
            <w:pPr>
              <w:spacing w:after="0"/>
              <w:rPr>
                <w:sz w:val="1"/>
                <w:szCs w:val="1"/>
                <w:color w:val="auto"/>
              </w:rPr>
            </w:pPr>
          </w:p>
        </w:tc>
      </w:tr>
      <w:tr>
        <w:trPr>
          <w:trHeight w:val="40"/>
        </w:trPr>
        <w:tc>
          <w:tcPr>
            <w:tcW w:w="7480" w:type="dxa"/>
            <w:vAlign w:val="bottom"/>
            <w:vMerge w:val="restart"/>
          </w:tcPr>
          <w:p>
            <w:pPr>
              <w:ind w:left="682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480" w:type="dxa"/>
            <w:vAlign w:val="bottom"/>
            <w:vMerge w:val="continue"/>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H. Mack, Ph.D.</w:t>
            </w:r>
          </w:p>
        </w:tc>
        <w:tc>
          <w:tcPr>
            <w:tcW w:w="0" w:type="dxa"/>
            <w:vAlign w:val="bottom"/>
          </w:tcPr>
          <w:p>
            <w:pPr>
              <w:spacing w:after="0"/>
              <w:rPr>
                <w:sz w:val="1"/>
                <w:szCs w:val="1"/>
                <w:color w:val="auto"/>
              </w:rPr>
            </w:pPr>
          </w:p>
        </w:tc>
      </w:tr>
      <w:tr>
        <w:trPr>
          <w:trHeight w:val="346"/>
        </w:trPr>
        <w:tc>
          <w:tcPr>
            <w:tcW w:w="7480" w:type="dxa"/>
            <w:vAlign w:val="bottom"/>
          </w:tcPr>
          <w:p>
            <w:pPr>
              <w:ind w:left="68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600"/>
        </w:trPr>
        <w:tc>
          <w:tcPr>
            <w:tcW w:w="74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25" w:lineRule="exact"/>
        <w:rPr>
          <w:sz w:val="20"/>
          <w:szCs w:val="20"/>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PMV Pharmaceuticals, Inc.;</w:t>
      </w:r>
    </w:p>
    <w:p>
      <w:pPr>
        <w:spacing w:after="0" w:line="224" w:lineRule="exact"/>
        <w:rPr>
          <w:rFonts w:ascii="Times New Roman" w:cs="Times New Roman" w:eastAsia="Times New Roman" w:hAnsi="Times New Roman"/>
          <w:sz w:val="18"/>
          <w:szCs w:val="18"/>
          <w:color w:val="auto"/>
        </w:rPr>
      </w:pPr>
    </w:p>
    <w:p>
      <w:pPr>
        <w:jc w:val="both"/>
        <w:ind w:left="380" w:right="140" w:hanging="372"/>
        <w:spacing w:after="0" w:line="265"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760" w:right="20" w:hanging="378"/>
        <w:spacing w:after="0" w:line="265" w:lineRule="auto"/>
        <w:tabs>
          <w:tab w:leader="none" w:pos="7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120" w:hanging="372"/>
        <w:spacing w:after="0" w:line="281"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15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480" w:type="dxa"/>
            <w:vAlign w:val="bottom"/>
          </w:tcPr>
          <w:p>
            <w:pPr>
              <w:ind w:left="682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Winston Kung</w:t>
            </w:r>
          </w:p>
        </w:tc>
        <w:tc>
          <w:tcPr>
            <w:tcW w:w="0" w:type="dxa"/>
            <w:vAlign w:val="bottom"/>
          </w:tcPr>
          <w:p>
            <w:pPr>
              <w:spacing w:after="0"/>
              <w:rPr>
                <w:sz w:val="1"/>
                <w:szCs w:val="1"/>
                <w:color w:val="auto"/>
              </w:rPr>
            </w:pPr>
          </w:p>
        </w:tc>
      </w:tr>
      <w:tr>
        <w:trPr>
          <w:trHeight w:val="40"/>
        </w:trPr>
        <w:tc>
          <w:tcPr>
            <w:tcW w:w="7480" w:type="dxa"/>
            <w:vAlign w:val="bottom"/>
            <w:vMerge w:val="restart"/>
          </w:tcPr>
          <w:p>
            <w:pPr>
              <w:ind w:left="6820"/>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480" w:type="dxa"/>
            <w:vAlign w:val="bottom"/>
            <w:vMerge w:val="continue"/>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Winston Kung</w:t>
            </w:r>
          </w:p>
        </w:tc>
        <w:tc>
          <w:tcPr>
            <w:tcW w:w="0" w:type="dxa"/>
            <w:vAlign w:val="bottom"/>
          </w:tcPr>
          <w:p>
            <w:pPr>
              <w:spacing w:after="0"/>
              <w:rPr>
                <w:sz w:val="1"/>
                <w:szCs w:val="1"/>
                <w:color w:val="auto"/>
              </w:rPr>
            </w:pPr>
          </w:p>
        </w:tc>
      </w:tr>
      <w:tr>
        <w:trPr>
          <w:trHeight w:val="319"/>
        </w:trPr>
        <w:tc>
          <w:tcPr>
            <w:tcW w:w="7480" w:type="dxa"/>
            <w:vAlign w:val="bottom"/>
          </w:tcPr>
          <w:p>
            <w:pPr>
              <w:ind w:left="68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Operating Officer and Chief</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600"/>
        </w:trPr>
        <w:tc>
          <w:tcPr>
            <w:tcW w:w="74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3"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PMV Pharmaceuticals, Inc. (the “Company”) on Form 10-K for the year ended December 31, 2022 as filed with the Securities and Exchange Commission on the date hereof (the “Report”), I, David H. Mack, hereby certify, pursuant to 18 U.S.C. § 1350, as adopted pursuant to § 906 of the Sarbanes-Oxley Act of 2002, that:</w:t>
      </w:r>
    </w:p>
    <w:p>
      <w:pPr>
        <w:spacing w:after="0" w:line="393"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FILENAME  \* MERGEFORMAT Normal.dotm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86" w:lineRule="exact"/>
        <w:rPr>
          <w:sz w:val="20"/>
          <w:szCs w:val="20"/>
          <w:color w:val="auto"/>
        </w:rPr>
      </w:pPr>
    </w:p>
    <w:tbl>
      <w:tblPr>
        <w:tblLayout w:type="fixed"/>
        <w:tblInd w:w="6500" w:type="dxa"/>
        <w:tblCellMar>
          <w:top w:w="0" w:type="dxa"/>
          <w:left w:w="0" w:type="dxa"/>
          <w:bottom w:w="0" w:type="dxa"/>
          <w:right w:w="0" w:type="dxa"/>
        </w:tblCellMar>
      </w:tblP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H. Mack</w:t>
            </w:r>
          </w:p>
        </w:tc>
        <w:tc>
          <w:tcPr>
            <w:tcW w:w="0" w:type="dxa"/>
            <w:vAlign w:val="bottom"/>
          </w:tcPr>
          <w:p>
            <w:pPr>
              <w:spacing w:after="0"/>
              <w:rPr>
                <w:sz w:val="1"/>
                <w:szCs w:val="1"/>
                <w:color w:val="auto"/>
              </w:rPr>
            </w:pPr>
          </w:p>
        </w:tc>
      </w:tr>
      <w:tr>
        <w:trPr>
          <w:trHeight w:val="40"/>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00" w:type="dxa"/>
            <w:vAlign w:val="bottom"/>
            <w:vMerge w:val="continue"/>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H. Mack, Ph.D.</w:t>
            </w:r>
          </w:p>
        </w:tc>
        <w:tc>
          <w:tcPr>
            <w:tcW w:w="0" w:type="dxa"/>
            <w:vAlign w:val="bottom"/>
          </w:tcPr>
          <w:p>
            <w:pPr>
              <w:spacing w:after="0"/>
              <w:rPr>
                <w:sz w:val="1"/>
                <w:szCs w:val="1"/>
                <w:color w:val="auto"/>
              </w:rPr>
            </w:pPr>
          </w:p>
        </w:tc>
      </w:tr>
      <w:tr>
        <w:trPr>
          <w:trHeight w:val="3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FILENAME  \* MERGEFORMAT Normal.dotm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3"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PMV Pharmaceuticals, Inc. (the “Company”) on Form 10-K for the year ended December 31, 2022 as filed with the Securities and Exchange Commission on the date hereof (the “Report”), I, Winston Kung, hereby certify, pursuant to 18 U.S.C. § 1350, as adopted pursuant to § 906 of the Sarbanes-Oxley Act of 2002, that:</w:t>
      </w:r>
    </w:p>
    <w:p>
      <w:pPr>
        <w:spacing w:after="0" w:line="177"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363855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200" w:type="dxa"/>
            <w:vAlign w:val="bottom"/>
          </w:tcPr>
          <w:p>
            <w:pPr>
              <w:ind w:left="65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Winston Kung</w:t>
            </w:r>
          </w:p>
        </w:tc>
        <w:tc>
          <w:tcPr>
            <w:tcW w:w="0" w:type="dxa"/>
            <w:vAlign w:val="bottom"/>
          </w:tcPr>
          <w:p>
            <w:pPr>
              <w:spacing w:after="0"/>
              <w:rPr>
                <w:sz w:val="1"/>
                <w:szCs w:val="1"/>
                <w:color w:val="auto"/>
              </w:rPr>
            </w:pPr>
          </w:p>
        </w:tc>
      </w:tr>
      <w:tr>
        <w:trPr>
          <w:trHeight w:val="40"/>
        </w:trPr>
        <w:tc>
          <w:tcPr>
            <w:tcW w:w="7200" w:type="dxa"/>
            <w:vAlign w:val="bottom"/>
            <w:vMerge w:val="restart"/>
          </w:tcPr>
          <w:p>
            <w:pPr>
              <w:ind w:left="6500"/>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200" w:type="dxa"/>
            <w:vAlign w:val="bottom"/>
            <w:vMerge w:val="continue"/>
          </w:tcPr>
          <w:p>
            <w:pPr>
              <w:spacing w:after="0"/>
              <w:rPr>
                <w:sz w:val="24"/>
                <w:szCs w:val="24"/>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Winston Kung</w:t>
            </w:r>
          </w:p>
        </w:tc>
        <w:tc>
          <w:tcPr>
            <w:tcW w:w="0" w:type="dxa"/>
            <w:vAlign w:val="bottom"/>
          </w:tcPr>
          <w:p>
            <w:pPr>
              <w:spacing w:after="0"/>
              <w:rPr>
                <w:sz w:val="1"/>
                <w:szCs w:val="1"/>
                <w:color w:val="auto"/>
              </w:rPr>
            </w:pPr>
          </w:p>
        </w:tc>
      </w:tr>
      <w:tr>
        <w:trPr>
          <w:trHeight w:val="310"/>
        </w:trPr>
        <w:tc>
          <w:tcPr>
            <w:tcW w:w="7200" w:type="dxa"/>
            <w:vAlign w:val="bottom"/>
          </w:tcPr>
          <w:p>
            <w:pPr>
              <w:ind w:left="650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Chief Operating Officer and Chief</w:t>
            </w:r>
          </w:p>
        </w:tc>
        <w:tc>
          <w:tcPr>
            <w:tcW w:w="0" w:type="dxa"/>
            <w:vAlign w:val="bottom"/>
          </w:tcPr>
          <w:p>
            <w:pPr>
              <w:spacing w:after="0"/>
              <w:rPr>
                <w:sz w:val="1"/>
                <w:szCs w:val="1"/>
                <w:color w:val="auto"/>
              </w:rPr>
            </w:pPr>
          </w:p>
        </w:tc>
      </w:tr>
      <w:tr>
        <w:trPr>
          <w:trHeight w:val="89"/>
        </w:trPr>
        <w:tc>
          <w:tcPr>
            <w:tcW w:w="7200" w:type="dxa"/>
            <w:vAlign w:val="bottom"/>
          </w:tcPr>
          <w:p>
            <w:pPr>
              <w:spacing w:after="0"/>
              <w:rPr>
                <w:sz w:val="7"/>
                <w:szCs w:val="7"/>
                <w:color w:val="auto"/>
              </w:rPr>
            </w:pPr>
          </w:p>
        </w:tc>
        <w:tc>
          <w:tcPr>
            <w:tcW w:w="4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627"/>
        </w:trPr>
        <w:tc>
          <w:tcPr>
            <w:tcW w:w="7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8" w:name="page159"/>
    <w:bookmarkEnd w:id="1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1)"/>
      <w:numFmt w:val="decimal"/>
      <w:start w:val="2"/>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1)"/>
      <w:numFmt w:val="lowerRoman"/>
      <w:start w:val="2"/>
    </w:lvl>
  </w:abstractNum>
  <w:abstractNum w:abstractNumId="61">
    <w:nsid w:val="98A3148"/>
    <w:multiLevelType w:val="hybridMultilevel"/>
    <w:lvl w:ilvl="0">
      <w:lvlJc w:val="left"/>
      <w:lvlText w:val="%1."/>
      <w:numFmt w:val="decimal"/>
      <w:start w:val="6"/>
    </w:lvl>
  </w:abstractNum>
  <w:abstractNum w:abstractNumId="62">
    <w:nsid w:val="799D0247"/>
    <w:multiLevelType w:val="hybridMultilevel"/>
    <w:lvl w:ilvl="0">
      <w:lvlJc w:val="left"/>
      <w:lvlText w:val="*"/>
      <w:numFmt w:val="bullet"/>
      <w:start w:val="1"/>
    </w:lvl>
    <w:lvl w:ilvl="1">
      <w:lvlJc w:val="left"/>
      <w:lvlText w:val="%2"/>
      <w:numFmt w:val="decimal"/>
      <w:start w:val="104"/>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1."/>
      <w:numFmt w:val="decimal"/>
      <w:start w:val="2"/>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lowerLetter"/>
      <w:start w:val="3"/>
    </w:lvl>
  </w:abstractNum>
  <w:abstractNum w:abstractNumId="69">
    <w:nsid w:val="540A471C"/>
    <w:multiLevelType w:val="hybridMultilevel"/>
    <w:lvl w:ilvl="0">
      <w:lvlJc w:val="left"/>
      <w:lvlText w:val="%1."/>
      <w:numFmt w:val="decimal"/>
      <w:start w:val="3"/>
    </w:lvl>
  </w:abstractNum>
  <w:abstractNum w:abstractNumId="70">
    <w:nsid w:val="7BD3EE7B"/>
    <w:multiLevelType w:val="hybridMultilevel"/>
    <w:lvl w:ilvl="0">
      <w:lvlJc w:val="left"/>
      <w:lvlText w:val="%1."/>
      <w:numFmt w:val="decimal"/>
      <w:start w:val="4"/>
    </w:lvl>
  </w:abstractNum>
  <w:abstractNum w:abstractNumId="71">
    <w:nsid w:val="51D9C564"/>
    <w:multiLevelType w:val="hybridMultilevel"/>
    <w:lvl w:ilvl="0">
      <w:lvlJc w:val="left"/>
      <w:lvlText w:val="%1."/>
      <w:numFmt w:val="decimal"/>
      <w:start w:val="5"/>
    </w:lvl>
  </w:abstractNum>
  <w:abstractNum w:abstractNumId="72">
    <w:nsid w:val="613EFDC5"/>
    <w:multiLevelType w:val="hybridMultilevel"/>
    <w:lvl w:ilvl="0">
      <w:lvlJc w:val="left"/>
      <w:lvlText w:val="%1."/>
      <w:numFmt w:val="decimal"/>
      <w:start w:val="6"/>
    </w:lvl>
  </w:abstractNum>
  <w:abstractNum w:abstractNumId="73">
    <w:nsid w:val="BF72B14"/>
    <w:multiLevelType w:val="hybridMultilevel"/>
    <w:lvl w:ilvl="0">
      <w:lvlJc w:val="left"/>
      <w:lvlText w:val="%1."/>
      <w:numFmt w:val="decimal"/>
      <w:start w:val="7"/>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4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33" Type="http://schemas.openxmlformats.org/officeDocument/2006/relationships/hyperlink" Target="https://www.sec.gov/Archives/edgar/data/1699382/000119312520257820/d95525dex31.htm" TargetMode="External"/><Relationship Id="rId334" Type="http://schemas.openxmlformats.org/officeDocument/2006/relationships/hyperlink" Target="https://www.sec.gov/Archives/edgar/data/1699382/000119312520257820/d95525dex32.htm" TargetMode="External"/><Relationship Id="rId335" Type="http://schemas.openxmlformats.org/officeDocument/2006/relationships/hyperlink" Target="https://www.sec.gov/Archives/edgar/data/1699382/000156459021010578/pmvp-ex41_260.htm" TargetMode="External"/><Relationship Id="rId336" Type="http://schemas.openxmlformats.org/officeDocument/2006/relationships/hyperlink" Target="https://www.sec.gov/Archives/edgar/data/0001699382/000119312520240132/d922470dex41.htm" TargetMode="External"/><Relationship Id="rId337" Type="http://schemas.openxmlformats.org/officeDocument/2006/relationships/hyperlink" Target="https://www.sec.gov/Archives/edgar/data/0001699382/000119312520249570/d922470dex42.htm" TargetMode="External"/><Relationship Id="rId338" Type="http://schemas.openxmlformats.org/officeDocument/2006/relationships/hyperlink" Target="https://www.sec.gov/Archives/edgar/data/1699382/000119312521290972/d231282dex44.htm" TargetMode="External"/><Relationship Id="rId339" Type="http://schemas.openxmlformats.org/officeDocument/2006/relationships/hyperlink" Target="https://www.sec.gov/Archives/edgar/data/0001699382/000119312520240132/d922470dex101.htm" TargetMode="External"/><Relationship Id="rId340" Type="http://schemas.openxmlformats.org/officeDocument/2006/relationships/hyperlink" Target="https://www.sec.gov/Archives/edgar/data/0001699382/000119312520249570/d922470dex102.htm" TargetMode="External"/><Relationship Id="rId341" Type="http://schemas.openxmlformats.org/officeDocument/2006/relationships/hyperlink" Target="https://www.sec.gov/Archives/edgar/data/0001699382/000119312520249570/d922470dex103.htm" TargetMode="External"/><Relationship Id="rId342" Type="http://schemas.openxmlformats.org/officeDocument/2006/relationships/hyperlink" Target="https://www.sec.gov/Archives/edgar/data/0001699382/000119312520249570/d922470dex104.htm" TargetMode="External"/><Relationship Id="rId343" Type="http://schemas.openxmlformats.org/officeDocument/2006/relationships/hyperlink" Target="https://www.sec.gov/Archives/edgar/data/0001699382/000119312520240132/d922470dex105.htm" TargetMode="External"/><Relationship Id="rId344" Type="http://schemas.openxmlformats.org/officeDocument/2006/relationships/hyperlink" Target="https://www.sec.gov/Archives/edgar/data/0001699382/000119312520240132/d922470dex106.htm" TargetMode="External"/><Relationship Id="rId345" Type="http://schemas.openxmlformats.org/officeDocument/2006/relationships/hyperlink" Target="https://www.sec.gov/Archives/edgar/data/0001699382/000119312520240132/d922470dex107.htm" TargetMode="External"/><Relationship Id="rId346" Type="http://schemas.openxmlformats.org/officeDocument/2006/relationships/hyperlink" Target="https://www.sec.gov/Archives/edgar/data/1699382/000156459022007860/pmvp-ex108_331.htm" TargetMode="External"/><Relationship Id="rId347" Type="http://schemas.openxmlformats.org/officeDocument/2006/relationships/hyperlink" Target="https://www.sec.gov/Archives/edgar/data/0001699382/000119312520240132/d922470dex109.htm" TargetMode="External"/><Relationship Id="rId348" Type="http://schemas.openxmlformats.org/officeDocument/2006/relationships/hyperlink" Target="https://www.sec.gov/Archives/edgar/data/0001699382/000119312520240132/d922470dex1010.htm" TargetMode="External"/><Relationship Id="rId350" Type="http://schemas.openxmlformats.org/officeDocument/2006/relationships/hyperlink" Target="https://www.sec.gov/Archives/edgar/data/0001699382/000119312520240132/d922470dex1011.htm" TargetMode="External"/><Relationship Id="rId351" Type="http://schemas.openxmlformats.org/officeDocument/2006/relationships/hyperlink" Target="https://www.sec.gov/Archives/edgar/data/0001699382/000119312520240132/d922470dex1012.htm" TargetMode="External"/><Relationship Id="rId352" Type="http://schemas.openxmlformats.org/officeDocument/2006/relationships/hyperlink" Target="https://www.sec.gov/Archives/edgar/data/0001699382/000119312520240132/d922470dex1013.htm" TargetMode="External"/><Relationship Id="rId353" Type="http://schemas.openxmlformats.org/officeDocument/2006/relationships/hyperlink" Target="https://www.sec.gov/Archives/edgar/data/1699382/000156459022007860/pmvp-ex1014_338.htm" TargetMode="External"/><Relationship Id="rId354" Type="http://schemas.openxmlformats.org/officeDocument/2006/relationships/hyperlink" Target="https://www.sec.gov/Archives/edgar/data/0001699382/000119312520240132/d922470dex1016.htm" TargetMode="External"/><Relationship Id="rId355" Type="http://schemas.openxmlformats.org/officeDocument/2006/relationships/hyperlink" Target="https://www.sec.gov/Archives/edgar/data/1699382/000156459022007860/pmvp-ex1017_538.htm" TargetMode="External"/><Relationship Id="rId356" Type="http://schemas.openxmlformats.org/officeDocument/2006/relationships/hyperlink" Target="https://www.sec.gov/Archives/edgar/data/0001699382/000119312520240132/d922470dex1018.htm" TargetMode="External"/><Relationship Id="rId357" Type="http://schemas.openxmlformats.org/officeDocument/2006/relationships/hyperlink" Target="https://www.sec.gov/Archives/edgar/data/1699382/000156459021010578/pmvp-ex1019_261.htm" TargetMode="External"/><Relationship Id="rId358" Type="http://schemas.openxmlformats.org/officeDocument/2006/relationships/hyperlink" Target="https://www.sec.gov/Archives/edgar/data/1699382/000119312521290972/d231282dex12.htm" TargetMode="External"/><Relationship Id="rId359" Type="http://schemas.openxmlformats.org/officeDocument/2006/relationships/hyperlink" Target="https://www.sec.gov/Archives/edgar/data/1699382/000156459022007860/pmvp-ex211_3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2023-03-01T08:25:22Z</dcterms:created>
  <dcterms:modified xsi:type="dcterms:W3CDTF">2023-03-01T08:25:22Z</dcterms:modified>
</cp:coreProperties>
</file>