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420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173355</wp:posOffset>
            </wp:positionV>
            <wp:extent cx="1420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178435</wp:posOffset>
            </wp:positionV>
            <wp:extent cx="142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PMV Pharmaceuticals,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153670</wp:posOffset>
            </wp:positionV>
            <wp:extent cx="1420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140" w:type="dxa"/>
        <w:tblCellMar>
          <w:top w:w="0" w:type="dxa"/>
          <w:left w:w="0" w:type="dxa"/>
          <w:bottom w:w="0" w:type="dxa"/>
          <w:right w:w="0" w:type="dxa"/>
        </w:tblCellMar>
      </w:tblPr>
      <w:tr>
        <w:trPr>
          <w:trHeight w:val="215"/>
        </w:trPr>
        <w:tc>
          <w:tcPr>
            <w:tcW w:w="3180" w:type="dxa"/>
            <w:vAlign w:val="bottom"/>
          </w:tcPr>
          <w:p>
            <w:pPr>
              <w:jc w:val="center"/>
              <w:ind w:right="884"/>
              <w:spacing w:after="0"/>
              <w:rPr>
                <w:sz w:val="20"/>
                <w:szCs w:val="20"/>
                <w:color w:val="auto"/>
              </w:rPr>
            </w:pPr>
            <w:r>
              <w:rPr>
                <w:rFonts w:ascii="Arial" w:cs="Arial" w:eastAsia="Arial" w:hAnsi="Arial"/>
                <w:sz w:val="17"/>
                <w:szCs w:val="17"/>
                <w:b w:val="1"/>
                <w:bCs w:val="1"/>
                <w:color w:val="auto"/>
                <w:w w:val="93"/>
              </w:rPr>
              <w:t>Delaware</w:t>
            </w:r>
          </w:p>
        </w:tc>
        <w:tc>
          <w:tcPr>
            <w:tcW w:w="2920" w:type="dxa"/>
            <w:vAlign w:val="bottom"/>
          </w:tcPr>
          <w:p>
            <w:pPr>
              <w:ind w:left="940"/>
              <w:spacing w:after="0"/>
              <w:rPr>
                <w:sz w:val="20"/>
                <w:szCs w:val="20"/>
                <w:color w:val="auto"/>
              </w:rPr>
            </w:pPr>
            <w:r>
              <w:rPr>
                <w:rFonts w:ascii="Arial" w:cs="Arial" w:eastAsia="Arial" w:hAnsi="Arial"/>
                <w:sz w:val="17"/>
                <w:szCs w:val="17"/>
                <w:b w:val="1"/>
                <w:bCs w:val="1"/>
                <w:color w:val="auto"/>
              </w:rPr>
              <w:t>001-39539</w:t>
            </w:r>
          </w:p>
        </w:tc>
        <w:tc>
          <w:tcPr>
            <w:tcW w:w="2280" w:type="dxa"/>
            <w:vAlign w:val="bottom"/>
          </w:tcPr>
          <w:p>
            <w:pPr>
              <w:jc w:val="right"/>
              <w:ind w:right="26"/>
              <w:spacing w:after="0"/>
              <w:rPr>
                <w:sz w:val="20"/>
                <w:szCs w:val="20"/>
                <w:color w:val="auto"/>
              </w:rPr>
            </w:pPr>
            <w:r>
              <w:rPr>
                <w:rFonts w:ascii="Arial" w:cs="Arial" w:eastAsia="Arial" w:hAnsi="Arial"/>
                <w:sz w:val="17"/>
                <w:szCs w:val="17"/>
                <w:b w:val="1"/>
                <w:bCs w:val="1"/>
                <w:color w:val="auto"/>
              </w:rPr>
              <w:t>46-3218129</w:t>
            </w:r>
          </w:p>
        </w:tc>
      </w:tr>
      <w:tr>
        <w:trPr>
          <w:trHeight w:val="144"/>
        </w:trPr>
        <w:tc>
          <w:tcPr>
            <w:tcW w:w="3180" w:type="dxa"/>
            <w:vAlign w:val="bottom"/>
          </w:tcPr>
          <w:p>
            <w:pPr>
              <w:jc w:val="center"/>
              <w:ind w:right="864"/>
              <w:spacing w:after="0" w:line="144" w:lineRule="exact"/>
              <w:rPr>
                <w:sz w:val="20"/>
                <w:szCs w:val="20"/>
                <w:color w:val="auto"/>
              </w:rPr>
            </w:pPr>
            <w:r>
              <w:rPr>
                <w:rFonts w:ascii="Arial" w:cs="Arial" w:eastAsia="Arial" w:hAnsi="Arial"/>
                <w:sz w:val="13"/>
                <w:szCs w:val="13"/>
                <w:b w:val="1"/>
                <w:bCs w:val="1"/>
                <w:color w:val="auto"/>
                <w:w w:val="92"/>
              </w:rPr>
              <w:t>(State or Other Jurisdiction</w:t>
            </w:r>
          </w:p>
        </w:tc>
        <w:tc>
          <w:tcPr>
            <w:tcW w:w="2920" w:type="dxa"/>
            <w:vAlign w:val="bottom"/>
          </w:tcPr>
          <w:p>
            <w:pPr>
              <w:ind w:left="940"/>
              <w:spacing w:after="0" w:line="144" w:lineRule="exact"/>
              <w:rPr>
                <w:sz w:val="20"/>
                <w:szCs w:val="20"/>
                <w:color w:val="auto"/>
              </w:rPr>
            </w:pPr>
            <w:r>
              <w:rPr>
                <w:rFonts w:ascii="Arial" w:cs="Arial" w:eastAsia="Arial" w:hAnsi="Arial"/>
                <w:sz w:val="13"/>
                <w:szCs w:val="13"/>
                <w:b w:val="1"/>
                <w:bCs w:val="1"/>
                <w:color w:val="auto"/>
              </w:rPr>
              <w:t>(Commission</w:t>
            </w:r>
          </w:p>
        </w:tc>
        <w:tc>
          <w:tcPr>
            <w:tcW w:w="2280" w:type="dxa"/>
            <w:vAlign w:val="bottom"/>
          </w:tcPr>
          <w:p>
            <w:pPr>
              <w:jc w:val="center"/>
              <w:ind w:left="1166"/>
              <w:spacing w:after="0" w:line="144" w:lineRule="exact"/>
              <w:rPr>
                <w:sz w:val="20"/>
                <w:szCs w:val="20"/>
                <w:color w:val="auto"/>
              </w:rPr>
            </w:pPr>
            <w:r>
              <w:rPr>
                <w:rFonts w:ascii="Arial" w:cs="Arial" w:eastAsia="Arial" w:hAnsi="Arial"/>
                <w:sz w:val="13"/>
                <w:szCs w:val="13"/>
                <w:b w:val="1"/>
                <w:bCs w:val="1"/>
                <w:color w:val="auto"/>
                <w:w w:val="94"/>
              </w:rPr>
              <w:t>(IRS Employer</w:t>
            </w:r>
          </w:p>
        </w:tc>
      </w:tr>
      <w:tr>
        <w:trPr>
          <w:trHeight w:val="169"/>
        </w:trPr>
        <w:tc>
          <w:tcPr>
            <w:tcW w:w="3180" w:type="dxa"/>
            <w:vAlign w:val="bottom"/>
          </w:tcPr>
          <w:p>
            <w:pPr>
              <w:jc w:val="center"/>
              <w:ind w:right="864"/>
              <w:spacing w:after="0"/>
              <w:rPr>
                <w:sz w:val="20"/>
                <w:szCs w:val="20"/>
                <w:color w:val="auto"/>
              </w:rPr>
            </w:pPr>
            <w:r>
              <w:rPr>
                <w:rFonts w:ascii="Arial" w:cs="Arial" w:eastAsia="Arial" w:hAnsi="Arial"/>
                <w:sz w:val="13"/>
                <w:szCs w:val="13"/>
                <w:b w:val="1"/>
                <w:bCs w:val="1"/>
                <w:color w:val="auto"/>
                <w:w w:val="92"/>
              </w:rPr>
              <w:t>of Incorporation)</w:t>
            </w:r>
          </w:p>
        </w:tc>
        <w:tc>
          <w:tcPr>
            <w:tcW w:w="2920" w:type="dxa"/>
            <w:vAlign w:val="bottom"/>
          </w:tcPr>
          <w:p>
            <w:pPr>
              <w:ind w:left="940"/>
              <w:spacing w:after="0"/>
              <w:rPr>
                <w:sz w:val="20"/>
                <w:szCs w:val="20"/>
                <w:color w:val="auto"/>
              </w:rPr>
            </w:pPr>
            <w:r>
              <w:rPr>
                <w:rFonts w:ascii="Arial" w:cs="Arial" w:eastAsia="Arial" w:hAnsi="Arial"/>
                <w:sz w:val="13"/>
                <w:szCs w:val="13"/>
                <w:b w:val="1"/>
                <w:bCs w:val="1"/>
                <w:color w:val="auto"/>
              </w:rPr>
              <w:t>File Number)</w:t>
            </w:r>
          </w:p>
        </w:tc>
        <w:tc>
          <w:tcPr>
            <w:tcW w:w="2280" w:type="dxa"/>
            <w:vAlign w:val="bottom"/>
          </w:tcPr>
          <w:p>
            <w:pPr>
              <w:jc w:val="center"/>
              <w:ind w:left="1166"/>
              <w:spacing w:after="0"/>
              <w:rPr>
                <w:sz w:val="20"/>
                <w:szCs w:val="20"/>
                <w:color w:val="auto"/>
              </w:rPr>
            </w:pPr>
            <w:r>
              <w:rPr>
                <w:rFonts w:ascii="Arial" w:cs="Arial" w:eastAsia="Arial" w:hAnsi="Arial"/>
                <w:sz w:val="13"/>
                <w:szCs w:val="13"/>
                <w:b w:val="1"/>
                <w:bCs w:val="1"/>
                <w:color w:val="auto"/>
                <w:w w:val="94"/>
              </w:rPr>
              <w:t>Identification No.)</w:t>
            </w:r>
          </w:p>
        </w:tc>
      </w:tr>
      <w:tr>
        <w:trPr>
          <w:trHeight w:val="323"/>
        </w:trPr>
        <w:tc>
          <w:tcPr>
            <w:tcW w:w="3180" w:type="dxa"/>
            <w:vAlign w:val="bottom"/>
          </w:tcPr>
          <w:p>
            <w:pPr>
              <w:jc w:val="center"/>
              <w:ind w:right="884"/>
              <w:spacing w:after="0"/>
              <w:rPr>
                <w:sz w:val="20"/>
                <w:szCs w:val="20"/>
                <w:color w:val="auto"/>
              </w:rPr>
            </w:pPr>
            <w:r>
              <w:rPr>
                <w:rFonts w:ascii="Arial" w:cs="Arial" w:eastAsia="Arial" w:hAnsi="Arial"/>
                <w:sz w:val="17"/>
                <w:szCs w:val="17"/>
                <w:b w:val="1"/>
                <w:bCs w:val="1"/>
                <w:color w:val="auto"/>
                <w:w w:val="95"/>
              </w:rPr>
              <w:t>Clarke Drive, Suite 3,</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5"/>
        </w:trPr>
        <w:tc>
          <w:tcPr>
            <w:tcW w:w="3180" w:type="dxa"/>
            <w:vAlign w:val="bottom"/>
          </w:tcPr>
          <w:p>
            <w:pPr>
              <w:jc w:val="center"/>
              <w:ind w:right="864"/>
              <w:spacing w:after="0"/>
              <w:rPr>
                <w:sz w:val="20"/>
                <w:szCs w:val="20"/>
                <w:color w:val="auto"/>
              </w:rPr>
            </w:pPr>
            <w:r>
              <w:rPr>
                <w:rFonts w:ascii="Arial" w:cs="Arial" w:eastAsia="Arial" w:hAnsi="Arial"/>
                <w:sz w:val="17"/>
                <w:szCs w:val="17"/>
                <w:b w:val="1"/>
                <w:bCs w:val="1"/>
                <w:color w:val="auto"/>
                <w:w w:val="97"/>
              </w:rPr>
              <w:t>Cranbury, NJ</w:t>
            </w:r>
          </w:p>
        </w:tc>
        <w:tc>
          <w:tcPr>
            <w:tcW w:w="2920" w:type="dxa"/>
            <w:vAlign w:val="bottom"/>
          </w:tcPr>
          <w:p>
            <w:pPr>
              <w:spacing w:after="0"/>
              <w:rPr>
                <w:sz w:val="18"/>
                <w:szCs w:val="18"/>
                <w:color w:val="auto"/>
              </w:rPr>
            </w:pPr>
          </w:p>
        </w:tc>
        <w:tc>
          <w:tcPr>
            <w:tcW w:w="2280" w:type="dxa"/>
            <w:vAlign w:val="bottom"/>
          </w:tcPr>
          <w:p>
            <w:pPr>
              <w:jc w:val="right"/>
              <w:ind w:right="226"/>
              <w:spacing w:after="0"/>
              <w:rPr>
                <w:sz w:val="20"/>
                <w:szCs w:val="20"/>
                <w:color w:val="auto"/>
              </w:rPr>
            </w:pPr>
            <w:r>
              <w:rPr>
                <w:rFonts w:ascii="Arial" w:cs="Arial" w:eastAsia="Arial" w:hAnsi="Arial"/>
                <w:sz w:val="17"/>
                <w:szCs w:val="17"/>
                <w:b w:val="1"/>
                <w:bCs w:val="1"/>
                <w:color w:val="auto"/>
              </w:rPr>
              <w:t>08512</w:t>
            </w:r>
          </w:p>
        </w:tc>
      </w:tr>
      <w:tr>
        <w:trPr>
          <w:trHeight w:val="169"/>
        </w:trPr>
        <w:tc>
          <w:tcPr>
            <w:tcW w:w="3180" w:type="dxa"/>
            <w:vAlign w:val="bottom"/>
          </w:tcPr>
          <w:p>
            <w:pPr>
              <w:jc w:val="center"/>
              <w:ind w:right="864"/>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2920" w:type="dxa"/>
            <w:vAlign w:val="bottom"/>
          </w:tcPr>
          <w:p>
            <w:pPr>
              <w:spacing w:after="0"/>
              <w:rPr>
                <w:sz w:val="14"/>
                <w:szCs w:val="14"/>
                <w:color w:val="auto"/>
              </w:rPr>
            </w:pPr>
          </w:p>
        </w:tc>
        <w:tc>
          <w:tcPr>
            <w:tcW w:w="2280" w:type="dxa"/>
            <w:vAlign w:val="bottom"/>
          </w:tcPr>
          <w:p>
            <w:pPr>
              <w:jc w:val="center"/>
              <w:ind w:left="1166"/>
              <w:spacing w:after="0"/>
              <w:rPr>
                <w:sz w:val="20"/>
                <w:szCs w:val="20"/>
                <w:color w:val="auto"/>
              </w:rPr>
            </w:pPr>
            <w:r>
              <w:rPr>
                <w:rFonts w:ascii="Arial" w:cs="Arial" w:eastAsia="Arial" w:hAnsi="Arial"/>
                <w:sz w:val="13"/>
                <w:szCs w:val="13"/>
                <w:b w:val="1"/>
                <w:bCs w:val="1"/>
                <w:color w:val="auto"/>
                <w:w w:val="93"/>
              </w:rPr>
              <w:t>(Zip Code)</w:t>
            </w: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146050</wp:posOffset>
            </wp:positionV>
            <wp:extent cx="1420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368" w:lineRule="exact"/>
        <w:rPr>
          <w:sz w:val="24"/>
          <w:szCs w:val="24"/>
          <w:color w:val="auto"/>
        </w:rPr>
      </w:pPr>
    </w:p>
    <w:p>
      <w:pPr>
        <w:ind w:right="300"/>
        <w:spacing w:after="0" w:line="28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4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0" w:type="dxa"/>
            <w:vAlign w:val="bottom"/>
          </w:tcPr>
          <w:p>
            <w:pPr>
              <w:spacing w:after="0"/>
              <w:rPr>
                <w:sz w:val="1"/>
                <w:szCs w:val="1"/>
                <w:color w:val="auto"/>
              </w:rPr>
            </w:pPr>
          </w:p>
        </w:tc>
      </w:tr>
      <w:tr>
        <w:trPr>
          <w:trHeight w:val="166"/>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Common Stock, $0.00001 par value per share</w:t>
            </w:r>
          </w:p>
        </w:tc>
        <w:tc>
          <w:tcPr>
            <w:tcW w:w="12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PMVP</w:t>
            </w:r>
          </w:p>
        </w:tc>
        <w:tc>
          <w:tcPr>
            <w:tcW w:w="10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The 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jc w:val="both"/>
        <w:spacing w:after="0" w:line="28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3" w:lineRule="exact"/>
        <w:rPr>
          <w:sz w:val="24"/>
          <w:szCs w:val="24"/>
          <w:color w:val="auto"/>
        </w:rPr>
      </w:pPr>
    </w:p>
    <w:p>
      <w:pPr>
        <w:ind w:right="32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357505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On November 12, 2021, PMV Pharmaceuticals, Inc. issued a press release announcing its financial results for the first quarter ended June 30, 2021.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full text of the press release is attached as Exhibit 99.1 to this Current Report on Form 8-K and is incorporated herein by reference.</w:t>
      </w:r>
    </w:p>
    <w:p>
      <w:pPr>
        <w:spacing w:after="0" w:line="211" w:lineRule="exact"/>
        <w:rPr>
          <w:sz w:val="20"/>
          <w:szCs w:val="20"/>
          <w:color w:val="auto"/>
        </w:rPr>
      </w:pPr>
    </w:p>
    <w:p>
      <w:pPr>
        <w:jc w:val="both"/>
        <w:ind w:right="180" w:firstLine="750"/>
        <w:spacing w:after="0" w:line="267" w:lineRule="auto"/>
        <w:rPr>
          <w:sz w:val="20"/>
          <w:szCs w:val="20"/>
          <w:color w:val="auto"/>
        </w:rPr>
      </w:pPr>
      <w:r>
        <w:rPr>
          <w:rFonts w:ascii="Arial" w:cs="Arial" w:eastAsia="Arial" w:hAnsi="Arial"/>
          <w:sz w:val="17"/>
          <w:szCs w:val="17"/>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29" w:lineRule="exact"/>
        <w:rPr>
          <w:sz w:val="20"/>
          <w:szCs w:val="20"/>
          <w:color w:val="auto"/>
        </w:rPr>
      </w:pPr>
    </w:p>
    <w:p>
      <w:pPr>
        <w:ind w:left="260" w:hanging="255"/>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w:t>
            </w:r>
          </w:p>
        </w:tc>
        <w:tc>
          <w:tcPr>
            <w:tcW w:w="10440" w:type="dxa"/>
            <w:vAlign w:val="bottom"/>
            <w:gridSpan w:val="2"/>
            <w:vMerge w:val="restart"/>
          </w:tcPr>
          <w:p>
            <w:pPr>
              <w:jc w:val="right"/>
              <w:ind w:righ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6"/>
        </w:trPr>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10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99.1</w:t>
            </w:r>
          </w:p>
        </w:tc>
        <w:tc>
          <w:tcPr>
            <w:tcW w:w="120" w:type="dxa"/>
            <w:vAlign w:val="bottom"/>
          </w:tcPr>
          <w:p>
            <w:pPr>
              <w:spacing w:after="0"/>
              <w:rPr>
                <w:sz w:val="24"/>
                <w:szCs w:val="24"/>
                <w:color w:val="auto"/>
              </w:rPr>
            </w:pPr>
          </w:p>
        </w:tc>
        <w:tc>
          <w:tcPr>
            <w:tcW w:w="5560" w:type="dxa"/>
            <w:vAlign w:val="bottom"/>
            <w:tcBorders>
              <w:top w:val="single" w:sz="8" w:color="auto"/>
              <w:bottom w:val="single" w:sz="8" w:color="0000EE"/>
            </w:tcBorders>
          </w:tcPr>
          <w:p>
            <w:pPr>
              <w:jc w:val="right"/>
              <w:spacing w:after="0"/>
              <w:rPr>
                <w:rFonts w:ascii="Arial" w:cs="Arial" w:eastAsia="Arial" w:hAnsi="Arial"/>
                <w:sz w:val="17"/>
                <w:szCs w:val="17"/>
                <w:color w:val="0000EE"/>
                <w:w w:val="91"/>
              </w:rPr>
            </w:pPr>
            <w:hyperlink w:anchor="page4">
              <w:r>
                <w:rPr>
                  <w:rFonts w:ascii="Arial" w:cs="Arial" w:eastAsia="Arial" w:hAnsi="Arial"/>
                  <w:sz w:val="17"/>
                  <w:szCs w:val="17"/>
                  <w:color w:val="0000EE"/>
                  <w:w w:val="91"/>
                </w:rPr>
                <w:t>Press Release issued by PMV Pharmaceuticals, Inc., dated November 12, 2021.</w:t>
              </w:r>
            </w:hyperlink>
          </w:p>
        </w:tc>
        <w:tc>
          <w:tcPr>
            <w:tcW w:w="4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580" w:right="4800" w:hanging="5575"/>
        <w:spacing w:after="0" w:line="867" w:lineRule="auto"/>
        <w:tabs>
          <w:tab w:leader="none" w:pos="802"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-250190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PMV Pharmaceuticals, Inc.</w:t>
      </w:r>
    </w:p>
    <w:p>
      <w:pPr>
        <w:spacing w:after="0" w:line="249" w:lineRule="exact"/>
        <w:rPr>
          <w:sz w:val="20"/>
          <w:szCs w:val="20"/>
          <w:color w:val="auto"/>
        </w:rPr>
      </w:pPr>
    </w:p>
    <w:p>
      <w:pPr>
        <w:spacing w:after="0"/>
        <w:tabs>
          <w:tab w:leader="none" w:pos="5660" w:val="left"/>
          <w:tab w:leader="none" w:pos="8000" w:val="left"/>
        </w:tabs>
        <w:rPr>
          <w:sz w:val="20"/>
          <w:szCs w:val="20"/>
          <w:color w:val="auto"/>
        </w:rPr>
      </w:pPr>
      <w:r>
        <w:rPr>
          <w:rFonts w:ascii="Arial" w:cs="Arial" w:eastAsia="Arial" w:hAnsi="Arial"/>
          <w:sz w:val="17"/>
          <w:szCs w:val="17"/>
          <w:color w:val="auto"/>
        </w:rPr>
        <w:t>Date: November 12,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16510</wp:posOffset>
            </wp:positionV>
            <wp:extent cx="3314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14" w:lineRule="exact"/>
        <w:rPr>
          <w:sz w:val="20"/>
          <w:szCs w:val="20"/>
          <w:color w:val="auto"/>
        </w:rPr>
      </w:pPr>
    </w:p>
    <w:p>
      <w:pPr>
        <w:ind w:left="8080"/>
        <w:spacing w:after="0"/>
        <w:rPr>
          <w:sz w:val="20"/>
          <w:szCs w:val="20"/>
          <w:color w:val="auto"/>
        </w:rPr>
      </w:pPr>
      <w:r>
        <w:rPr>
          <w:rFonts w:ascii="Arial" w:cs="Arial" w:eastAsia="Arial" w:hAnsi="Arial"/>
          <w:sz w:val="17"/>
          <w:szCs w:val="17"/>
          <w:b w:val="1"/>
          <w:bCs w:val="1"/>
          <w:color w:val="auto"/>
        </w:rPr>
        <w:t>Winston Kung</w:t>
      </w:r>
    </w:p>
    <w:p>
      <w:pPr>
        <w:spacing w:after="0" w:line="32" w:lineRule="exact"/>
        <w:rPr>
          <w:sz w:val="20"/>
          <w:szCs w:val="20"/>
          <w:color w:val="auto"/>
        </w:rPr>
      </w:pPr>
    </w:p>
    <w:p>
      <w:pPr>
        <w:ind w:left="7560"/>
        <w:spacing w:after="0"/>
        <w:rPr>
          <w:sz w:val="20"/>
          <w:szCs w:val="20"/>
          <w:color w:val="auto"/>
        </w:rPr>
      </w:pPr>
      <w:r>
        <w:rPr>
          <w:rFonts w:ascii="Arial" w:cs="Arial" w:eastAsia="Arial" w:hAnsi="Arial"/>
          <w:sz w:val="17"/>
          <w:szCs w:val="17"/>
          <w:b w:val="1"/>
          <w:bCs w:val="1"/>
          <w:color w:val="auto"/>
        </w:rPr>
        <w:t>Chief Operating Officer, and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(Principal Financial Officer)</w:t>
      </w: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60"/>
          </w:cols>
          <w:pgMar w:left="320" w:top="540"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color w:val="auto"/>
        </w:rPr>
        <w:t>Exhibit 99.1</w:t>
      </w:r>
    </w:p>
    <w:p>
      <w:pPr>
        <w:spacing w:after="0" w:line="187" w:lineRule="exact"/>
        <w:rPr>
          <w:sz w:val="20"/>
          <w:szCs w:val="20"/>
          <w:color w:val="auto"/>
        </w:rPr>
      </w:pPr>
    </w:p>
    <w:p>
      <w:pPr>
        <w:ind w:right="1340"/>
        <w:spacing w:after="0" w:line="277" w:lineRule="auto"/>
        <w:rPr>
          <w:sz w:val="20"/>
          <w:szCs w:val="20"/>
          <w:color w:val="auto"/>
        </w:rPr>
      </w:pPr>
      <w:r>
        <w:rPr>
          <w:rFonts w:ascii="Arial" w:cs="Arial" w:eastAsia="Arial" w:hAnsi="Arial"/>
          <w:sz w:val="42"/>
          <w:szCs w:val="42"/>
          <w:b w:val="1"/>
          <w:bCs w:val="1"/>
          <w:color w:val="auto"/>
        </w:rPr>
        <w:t>PMV Pharmaceuticals Reports Third Quarter 2021 Financial Results and Corporate Highlights</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CRANBURY, NJ, November 12, 2021 (GLOBE NEWSWIRE) – PMV Pharmaceuticals, Inc. (Nasdaq: PMVP), a clinical-stage oncology company pioneering the discovery and development of small molecule therapies designed to activate p53 function, today reported financial results for the third quarter ended September 30, 2021 and provided corporate highlights.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0A0A0A"/>
        </w:rPr>
        <w:t>We made important progress in the third quarter of 2021 as we advanced the clinical development of our lead candidate,</w:t>
      </w:r>
      <w:r>
        <w:rPr>
          <w:rFonts w:ascii="Arial" w:cs="Arial" w:eastAsia="Arial" w:hAnsi="Arial"/>
          <w:sz w:val="20"/>
          <w:szCs w:val="20"/>
          <w:color w:val="auto"/>
        </w:rPr>
        <w:t xml:space="preserve"> </w:t>
      </w:r>
      <w:r>
        <w:rPr>
          <w:rFonts w:ascii="Arial" w:cs="Arial" w:eastAsia="Arial" w:hAnsi="Arial"/>
          <w:sz w:val="20"/>
          <w:szCs w:val="20"/>
          <w:color w:val="0A0A0A"/>
        </w:rPr>
        <w:t xml:space="preserve">PC14586, an investigational small molecule p53 Y220C reactivator, and strengthened our corporate foundation to ensure that we have the talent and resources in place to support our future success,” </w:t>
      </w:r>
      <w:r>
        <w:rPr>
          <w:rFonts w:ascii="Arial" w:cs="Arial" w:eastAsia="Arial" w:hAnsi="Arial"/>
          <w:sz w:val="20"/>
          <w:szCs w:val="20"/>
          <w:color w:val="000000"/>
        </w:rPr>
        <w:t>said David Mack, Ph.D., President and</w:t>
      </w:r>
      <w:r>
        <w:rPr>
          <w:rFonts w:ascii="Arial" w:cs="Arial" w:eastAsia="Arial" w:hAnsi="Arial"/>
          <w:sz w:val="20"/>
          <w:szCs w:val="20"/>
          <w:color w:val="0A0A0A"/>
        </w:rPr>
        <w:t xml:space="preserve"> </w:t>
      </w:r>
      <w:r>
        <w:rPr>
          <w:rFonts w:ascii="Arial" w:cs="Arial" w:eastAsia="Arial" w:hAnsi="Arial"/>
          <w:sz w:val="20"/>
          <w:szCs w:val="20"/>
          <w:color w:val="000000"/>
        </w:rPr>
        <w:t>Chief Executive Officer of PMV Pharma. “Our ongoing Phase 1/2 trial of PC14586 is progressing well, with twelve sites at leading oncology centers, and we expect to present data from the study in the first half of next year.”</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Highlights and Guidance</w:t>
      </w:r>
    </w:p>
    <w:p>
      <w:pPr>
        <w:spacing w:after="0" w:line="229" w:lineRule="exact"/>
        <w:rPr>
          <w:sz w:val="20"/>
          <w:szCs w:val="20"/>
          <w:color w:val="auto"/>
        </w:rPr>
      </w:pPr>
    </w:p>
    <w:p>
      <w:pPr>
        <w:jc w:val="both"/>
        <w:ind w:left="760" w:hanging="428"/>
        <w:spacing w:after="0" w:line="234"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21"/>
          <w:szCs w:val="21"/>
          <w:color w:val="auto"/>
        </w:rPr>
        <w:t>Data from the Phase 1 portion of the ongoing Phase 1/2 clinical trial of PC14586, the Company’s first-in-class, tumor-agnostic, investigational small molecule p53 Y220C reactivator, in patients with advanced solid tumors that harbor a p53 Y220C mutation (NCT04585750) are expected in the first half of 2022</w:t>
      </w:r>
    </w:p>
    <w:p>
      <w:pPr>
        <w:jc w:val="both"/>
        <w:ind w:left="760" w:hanging="428"/>
        <w:spacing w:after="0" w:line="234"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21"/>
          <w:szCs w:val="21"/>
          <w:color w:val="auto"/>
        </w:rPr>
        <w:t>Appointed Tim Smith as Senior Vice President, Head of Corporate Development. Prior to joining PMV Pharma, Mr. Smith was Chief Business Officer of Verseau Therapeutics. He has held senior business development leadership roles at IDEAYA Biosciences, Cleave Biosciences, and Celgene Corporation. He spent his early career in equity research covering the biotechnology sector at RBC Capital Markets, Lazard Capital Markets, and Citi Research. Mr. Smith holds a B.S. in biology from the University of Texas at Arlington, an MBA in finance from Fordham University and an M.A. in biotechnology from Columbia University.</w:t>
      </w:r>
    </w:p>
    <w:p>
      <w:pPr>
        <w:ind w:left="760" w:hanging="428"/>
        <w:spacing w:after="0" w:line="243"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21"/>
          <w:szCs w:val="21"/>
          <w:color w:val="auto"/>
        </w:rPr>
        <w:t>Strong cash, cash equivalents and marketable securities position of $326.3 million as of September 30, 2021 sufficient to support execution of clinical, research and operational goals through the end of 2023</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Quarter 2021 Financial Results</w:t>
      </w:r>
    </w:p>
    <w:p>
      <w:pPr>
        <w:spacing w:after="0" w:line="229" w:lineRule="exact"/>
        <w:rPr>
          <w:sz w:val="20"/>
          <w:szCs w:val="20"/>
          <w:color w:val="auto"/>
        </w:rPr>
      </w:pPr>
    </w:p>
    <w:p>
      <w:pPr>
        <w:jc w:val="both"/>
        <w:ind w:left="760" w:hanging="428"/>
        <w:spacing w:after="0" w:line="239"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21"/>
          <w:szCs w:val="21"/>
          <w:color w:val="auto"/>
        </w:rPr>
        <w:t>PMV Pharma ended the third quarter with $326.3 million in cash, cash equivalents, and marketable securities, compared to $361.4 million as of December 31, 2020. Net cash used in operations was $34.5 million for the nine months ended September 30, 2021, compared to $22.4 million for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322580</wp:posOffset>
            </wp:positionV>
            <wp:extent cx="717867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67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1"/>
          <w:szCs w:val="21"/>
          <w:color w:val="auto"/>
        </w:rPr>
        <w:t>Exhibit 99.1</w:t>
      </w:r>
    </w:p>
    <w:p>
      <w:pPr>
        <w:spacing w:after="0" w:line="232" w:lineRule="exact"/>
        <w:rPr>
          <w:sz w:val="20"/>
          <w:szCs w:val="20"/>
          <w:color w:val="auto"/>
        </w:rPr>
      </w:pPr>
    </w:p>
    <w:p>
      <w:pPr>
        <w:ind w:left="760" w:hanging="428"/>
        <w:spacing w:after="0" w:line="234"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21"/>
          <w:szCs w:val="21"/>
          <w:color w:val="auto"/>
        </w:rPr>
        <w:t>Net loss for the nine months ended September 30, 2021 was $39.5 million compared to $24.0 million for the nine months ended September 30, 2020.</w:t>
      </w:r>
    </w:p>
    <w:p>
      <w:pPr>
        <w:jc w:val="both"/>
        <w:ind w:left="760" w:hanging="428"/>
        <w:spacing w:after="0" w:line="234"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21"/>
          <w:szCs w:val="21"/>
          <w:color w:val="auto"/>
        </w:rPr>
        <w:t>Research and development (R&amp;D) expenses were $24.3 million for the nine months ended September 30, 2021 compared to $17.8 million for the nine months ended September 30, 2020. The increase in R&amp;D expenses was primarily due to increased headcount and clinical expenses related to development of PC14586, the Company’s lead drug candidate.</w:t>
      </w:r>
    </w:p>
    <w:p>
      <w:pPr>
        <w:jc w:val="both"/>
        <w:ind w:left="760" w:hanging="428"/>
        <w:spacing w:after="0" w:line="239"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21"/>
          <w:szCs w:val="21"/>
          <w:color w:val="auto"/>
        </w:rPr>
        <w:t>General and administrative (G&amp;A) expenses were $15.5 million for the nine months ended September 30, 2021 compared to $6.7 million for the nine months ended September 30, 2020. The increase in G&amp;A expenses was primarily due to costs relating to building the infrastructure necessary to operate as a public company.</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p53</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p53 plays a pivotal role in preventing abnormal cells from becoming a tumor by inducing programmed cell death. Mutant p53 takes on oncogenic properties that endow cancer cells with a growth advantage and resistance to anti-cancer therapy. The p53 Y220C mutation is associated with many cancers, including but not limited to breast, non-small cell lung cancer, colorectal, pancreatic, and ovarian cancers.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PC14586</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PC14586 is a first-in-class, small molecule, p53 reactivator designed to selectively bind to the crevice present in the p53 Y220C mutant protein, hence, restoring the wild-type, or normal, p53 protein structure and tumor suppressing function. PC14586 is being developed for the treatment of patients with locally advanced or metastatic solid tumors that have the p53 Y220C mutation and has been granted Fast Track designation by the U.S. FDA.</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PMV Pharma</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21"/>
          <w:szCs w:val="21"/>
          <w:color w:val="auto"/>
        </w:rPr>
        <w:t xml:space="preserve">PMV Pharma is a clinical-stage oncology company pioneering the discovery and development of small molecule therapies designed to activate p53 function. Experts in p53 biology, cancer genetics, and medicinal chemistry, PMV Pharma is focused on delivering precision therapeutics that improve the lives of patients living with cancer. Along with the expertise of co -founder Dr. Arnold Levine, who discovered p53, PMV brings together leaders in the field to utilize over four decades of p53 biology to develop tumor-agnostic, targeted, pharmaceutical products. PMV Pharma is headquartered in Cranbury, New Jersey. For more information, please visit </w:t>
      </w:r>
      <w:r>
        <w:rPr>
          <w:rFonts w:ascii="Arial" w:cs="Arial" w:eastAsia="Arial" w:hAnsi="Arial"/>
          <w:sz w:val="21"/>
          <w:szCs w:val="21"/>
          <w:u w:val="single" w:color="auto"/>
          <w:color w:val="auto"/>
        </w:rPr>
        <w:t>www.pmvpharma.com</w:t>
      </w:r>
      <w:r>
        <w:rPr>
          <w:rFonts w:ascii="Arial" w:cs="Arial" w:eastAsia="Arial" w:hAnsi="Arial"/>
          <w:sz w:val="21"/>
          <w:szCs w:val="21"/>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322580</wp:posOffset>
            </wp:positionV>
            <wp:extent cx="717867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67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color w:val="auto"/>
        </w:rPr>
        <w:t>Exhibit 99.1</w:t>
      </w:r>
    </w:p>
    <w:p>
      <w:pPr>
        <w:spacing w:after="0" w:line="200" w:lineRule="exact"/>
        <w:rPr>
          <w:sz w:val="20"/>
          <w:szCs w:val="20"/>
          <w:color w:val="auto"/>
        </w:rPr>
      </w:pPr>
    </w:p>
    <w:p>
      <w:pPr>
        <w:spacing w:after="0" w:line="241"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looking statements. Such statements include, but are not limited to, statements regarding the Company’s future plans or expectations for PC14586, including expectations regarding the timing for release of preliminary Phase 1 data and success of its current clinical trial for PC14586; the future plans or expectations for the Company’s discovery platform; and the period over which the Company estimates its existing cash and cash equivalents will be sufficient to fund its current operating plan.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3, 2021, the Company’s Quarterly Report on Form 10-Q filed with the SEC on November 12, 2021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615315</wp:posOffset>
            </wp:positionV>
            <wp:extent cx="717867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67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left="10200"/>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20" w:type="dxa"/>
            <w:vAlign w:val="bottom"/>
          </w:tcPr>
          <w:p>
            <w:pPr>
              <w:jc w:val="center"/>
              <w:ind w:left="3253"/>
              <w:spacing w:after="0"/>
              <w:rPr>
                <w:sz w:val="20"/>
                <w:szCs w:val="20"/>
                <w:color w:val="auto"/>
              </w:rPr>
            </w:pPr>
            <w:r>
              <w:rPr>
                <w:rFonts w:ascii="Arial" w:cs="Arial" w:eastAsia="Arial" w:hAnsi="Arial"/>
                <w:sz w:val="17"/>
                <w:szCs w:val="17"/>
                <w:b w:val="1"/>
                <w:bCs w:val="1"/>
                <w:color w:val="auto"/>
                <w:w w:val="95"/>
              </w:rPr>
              <w:t>PMV Pharmaceuticals, Inc.</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1"/>
        </w:trPr>
        <w:tc>
          <w:tcPr>
            <w:tcW w:w="7920" w:type="dxa"/>
            <w:vAlign w:val="bottom"/>
          </w:tcPr>
          <w:p>
            <w:pPr>
              <w:jc w:val="center"/>
              <w:ind w:left="3253"/>
              <w:spacing w:after="0"/>
              <w:rPr>
                <w:sz w:val="20"/>
                <w:szCs w:val="20"/>
                <w:color w:val="auto"/>
              </w:rPr>
            </w:pPr>
            <w:r>
              <w:rPr>
                <w:rFonts w:ascii="Arial" w:cs="Arial" w:eastAsia="Arial" w:hAnsi="Arial"/>
                <w:sz w:val="17"/>
                <w:szCs w:val="17"/>
                <w:b w:val="1"/>
                <w:bCs w:val="1"/>
                <w:color w:val="auto"/>
                <w:w w:val="88"/>
              </w:rPr>
              <w:t>Condensed Balance Sheets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7920" w:type="dxa"/>
            <w:vAlign w:val="bottom"/>
          </w:tcPr>
          <w:p>
            <w:pPr>
              <w:jc w:val="center"/>
              <w:ind w:left="3233"/>
              <w:spacing w:after="0"/>
              <w:rPr>
                <w:sz w:val="20"/>
                <w:szCs w:val="20"/>
                <w:color w:val="auto"/>
              </w:rPr>
            </w:pPr>
            <w:r>
              <w:rPr>
                <w:rFonts w:ascii="Arial" w:cs="Arial" w:eastAsia="Arial" w:hAnsi="Arial"/>
                <w:sz w:val="17"/>
                <w:szCs w:val="17"/>
                <w:b w:val="1"/>
                <w:bCs w:val="1"/>
                <w:color w:val="auto"/>
                <w:w w:val="95"/>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7920" w:type="dxa"/>
            <w:vAlign w:val="bottom"/>
          </w:tcPr>
          <w:p>
            <w:pPr>
              <w:jc w:val="center"/>
              <w:ind w:left="3253"/>
              <w:spacing w:after="0"/>
              <w:rPr>
                <w:sz w:val="20"/>
                <w:szCs w:val="20"/>
                <w:color w:val="auto"/>
              </w:rPr>
            </w:pPr>
            <w:r>
              <w:rPr>
                <w:rFonts w:ascii="Arial" w:cs="Arial" w:eastAsia="Arial" w:hAnsi="Arial"/>
                <w:sz w:val="17"/>
                <w:szCs w:val="17"/>
                <w:b w:val="1"/>
                <w:bCs w:val="1"/>
                <w:color w:val="auto"/>
                <w:w w:val="90"/>
              </w:rPr>
              <w:t>(in thousands, except share and per share amounts)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September 30,</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Arial" w:cs="Arial" w:eastAsia="Arial" w:hAnsi="Arial"/>
                <w:sz w:val="17"/>
                <w:szCs w:val="17"/>
                <w:b w:val="1"/>
                <w:bCs w:val="1"/>
                <w:color w:val="auto"/>
                <w:w w:val="95"/>
              </w:rPr>
              <w:t>2021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December 31,</w:t>
            </w:r>
          </w:p>
        </w:tc>
        <w:tc>
          <w:tcPr>
            <w:tcW w:w="20" w:type="dxa"/>
            <w:vAlign w:val="bottom"/>
          </w:tcPr>
          <w:p>
            <w:pPr>
              <w:spacing w:after="0"/>
              <w:rPr>
                <w:sz w:val="18"/>
                <w:szCs w:val="18"/>
                <w:color w:val="auto"/>
              </w:rPr>
            </w:pPr>
          </w:p>
        </w:tc>
      </w:tr>
      <w:tr>
        <w:trPr>
          <w:trHeight w:val="228"/>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5"/>
              </w:rPr>
              <w:t>(unaudited)</w:t>
            </w:r>
          </w:p>
        </w:tc>
        <w:tc>
          <w:tcPr>
            <w:tcW w:w="120" w:type="dxa"/>
            <w:vAlign w:val="bottom"/>
          </w:tcPr>
          <w:p>
            <w:pPr>
              <w:spacing w:after="0"/>
              <w:rPr>
                <w:sz w:val="19"/>
                <w:szCs w:val="19"/>
                <w:color w:val="auto"/>
              </w:rPr>
            </w:pPr>
          </w:p>
        </w:tc>
        <w:tc>
          <w:tcPr>
            <w:tcW w:w="1180" w:type="dxa"/>
            <w:vAlign w:val="bottom"/>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92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176,641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361,422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7920" w:type="dxa"/>
            <w:vAlign w:val="bottom"/>
          </w:tcPr>
          <w:p>
            <w:pPr>
              <w:ind w:left="240"/>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822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3"/>
        </w:trPr>
        <w:tc>
          <w:tcPr>
            <w:tcW w:w="7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Short-term marketable securities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131,010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2"/>
        </w:trPr>
        <w:tc>
          <w:tcPr>
            <w:tcW w:w="79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92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313,555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364,761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9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1,394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7"/>
                <w:szCs w:val="17"/>
                <w:color w:val="auto"/>
              </w:rPr>
              <w:t>Long-term marketable securities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18,601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2"/>
        </w:trPr>
        <w:tc>
          <w:tcPr>
            <w:tcW w:w="7920" w:type="dxa"/>
            <w:vAlign w:val="bottom"/>
          </w:tcPr>
          <w:p>
            <w:pPr>
              <w:spacing w:after="0"/>
              <w:rPr>
                <w:sz w:val="20"/>
                <w:szCs w:val="20"/>
                <w:color w:val="auto"/>
              </w:rPr>
            </w:pPr>
            <w:r>
              <w:rPr>
                <w:rFonts w:ascii="Arial" w:cs="Arial" w:eastAsia="Arial" w:hAnsi="Arial"/>
                <w:sz w:val="17"/>
                <w:szCs w:val="17"/>
                <w:color w:val="auto"/>
              </w:rPr>
              <w:t>Lease asset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10,410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218</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5"/>
        </w:trPr>
        <w:tc>
          <w:tcPr>
            <w:tcW w:w="7920" w:type="dxa"/>
            <w:vAlign w:val="bottom"/>
          </w:tcPr>
          <w:p>
            <w:pPr>
              <w:spacing w:after="0"/>
              <w:rPr>
                <w:sz w:val="20"/>
                <w:szCs w:val="20"/>
                <w:color w:val="auto"/>
              </w:rPr>
            </w:pPr>
            <w:r>
              <w:rPr>
                <w:rFonts w:ascii="Arial" w:cs="Arial" w:eastAsia="Arial" w:hAnsi="Arial"/>
                <w:sz w:val="17"/>
                <w:szCs w:val="17"/>
                <w:color w:val="auto"/>
              </w:rPr>
              <w:t>Total assets</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344,178</w:t>
            </w: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365,531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2"/>
        </w:trPr>
        <w:tc>
          <w:tcPr>
            <w:tcW w:w="7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w:t>
            </w: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7920" w:type="dxa"/>
            <w:vAlign w:val="bottom"/>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payable</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7920" w:type="dxa"/>
            <w:vAlign w:val="bottom"/>
          </w:tcPr>
          <w:p>
            <w:pPr>
              <w:ind w:left="24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6,740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lease liability</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5"/>
        </w:trPr>
        <w:tc>
          <w:tcPr>
            <w:tcW w:w="79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8,563</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7"/>
                <w:szCs w:val="17"/>
                <w:color w:val="auto"/>
              </w:rPr>
              <w:t>Noncurrent lease liability</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10,667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5"/>
        </w:trPr>
        <w:tc>
          <w:tcPr>
            <w:tcW w:w="7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19,230</w:t>
            </w:r>
          </w:p>
        </w:tc>
        <w:tc>
          <w:tcPr>
            <w:tcW w:w="2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6,410</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92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7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Common stock</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2"/>
        </w:trPr>
        <w:tc>
          <w:tcPr>
            <w:tcW w:w="7920" w:type="dxa"/>
            <w:vAlign w:val="bottom"/>
          </w:tcPr>
          <w:p>
            <w:pPr>
              <w:ind w:left="24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474,301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469,001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(149,367)</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(109,880)</w:t>
            </w:r>
          </w:p>
        </w:tc>
        <w:tc>
          <w:tcPr>
            <w:tcW w:w="20" w:type="dxa"/>
            <w:vAlign w:val="bottom"/>
          </w:tcPr>
          <w:p>
            <w:pPr>
              <w:spacing w:after="0"/>
              <w:rPr>
                <w:sz w:val="19"/>
                <w:szCs w:val="19"/>
                <w:color w:val="auto"/>
              </w:rPr>
            </w:pPr>
          </w:p>
        </w:tc>
      </w:tr>
      <w:tr>
        <w:trPr>
          <w:trHeight w:val="222"/>
        </w:trPr>
        <w:tc>
          <w:tcPr>
            <w:tcW w:w="7920" w:type="dxa"/>
            <w:vAlign w:val="bottom"/>
          </w:tcPr>
          <w:p>
            <w:pPr>
              <w:ind w:left="24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6"/>
        </w:trPr>
        <w:tc>
          <w:tcPr>
            <w:tcW w:w="79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324,948</w:t>
            </w: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359,121</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920" w:type="dxa"/>
            <w:vAlign w:val="bottom"/>
          </w:tcPr>
          <w:p>
            <w:pPr>
              <w:spacing w:after="0"/>
              <w:rPr>
                <w:sz w:val="20"/>
                <w:szCs w:val="20"/>
                <w:color w:val="auto"/>
              </w:rPr>
            </w:pPr>
            <w:r>
              <w:rPr>
                <w:rFonts w:ascii="Arial" w:cs="Arial" w:eastAsia="Arial" w:hAnsi="Arial"/>
                <w:sz w:val="17"/>
                <w:szCs w:val="17"/>
                <w:color w:val="auto"/>
              </w:rPr>
              <w:t>Total liabilities, convertible preferred stock, and stockholders’ equity</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344,178</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365,531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8"/>
        </w:trPr>
        <w:tc>
          <w:tcPr>
            <w:tcW w:w="7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7"/>
        </w:trPr>
        <w:tc>
          <w:tcPr>
            <w:tcW w:w="3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1"/>
                <w:szCs w:val="21"/>
                <w:color w:val="auto"/>
              </w:rPr>
              <w:t>Exhibit 99.1</w:t>
            </w:r>
          </w:p>
        </w:tc>
        <w:tc>
          <w:tcPr>
            <w:tcW w:w="0" w:type="dxa"/>
            <w:vAlign w:val="bottom"/>
          </w:tcPr>
          <w:p>
            <w:pPr>
              <w:spacing w:after="0"/>
              <w:rPr>
                <w:sz w:val="1"/>
                <w:szCs w:val="1"/>
                <w:color w:val="auto"/>
              </w:rPr>
            </w:pPr>
          </w:p>
        </w:tc>
      </w:tr>
      <w:tr>
        <w:trPr>
          <w:trHeight w:val="626"/>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gridSpan w:val="6"/>
          </w:tcPr>
          <w:p>
            <w:pPr>
              <w:jc w:val="center"/>
              <w:ind w:right="520"/>
              <w:spacing w:after="0"/>
              <w:rPr>
                <w:sz w:val="20"/>
                <w:szCs w:val="20"/>
                <w:color w:val="auto"/>
              </w:rPr>
            </w:pPr>
            <w:r>
              <w:rPr>
                <w:rFonts w:ascii="Arial" w:cs="Arial" w:eastAsia="Arial" w:hAnsi="Arial"/>
                <w:sz w:val="17"/>
                <w:szCs w:val="17"/>
                <w:b w:val="1"/>
                <w:bCs w:val="1"/>
                <w:color w:val="auto"/>
                <w:w w:val="95"/>
              </w:rPr>
              <w:t>PMV Pharmaceuticals, Inc.</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160" w:type="dxa"/>
            <w:vAlign w:val="bottom"/>
            <w:gridSpan w:val="11"/>
          </w:tcPr>
          <w:p>
            <w:pPr>
              <w:jc w:val="center"/>
              <w:ind w:left="3013"/>
              <w:spacing w:after="0"/>
              <w:rPr>
                <w:sz w:val="20"/>
                <w:szCs w:val="20"/>
                <w:color w:val="auto"/>
              </w:rPr>
            </w:pPr>
            <w:r>
              <w:rPr>
                <w:rFonts w:ascii="Arial" w:cs="Arial" w:eastAsia="Arial" w:hAnsi="Arial"/>
                <w:sz w:val="17"/>
                <w:szCs w:val="17"/>
                <w:b w:val="1"/>
                <w:bCs w:val="1"/>
                <w:color w:val="auto"/>
                <w:w w:val="90"/>
              </w:rPr>
              <w:t>Condensed Statements of Operations and Comprehensive Loss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4"/>
          </w:tcPr>
          <w:p>
            <w:pPr>
              <w:jc w:val="center"/>
              <w:ind w:left="933"/>
              <w:spacing w:after="0"/>
              <w:rPr>
                <w:sz w:val="20"/>
                <w:szCs w:val="20"/>
                <w:color w:val="auto"/>
              </w:rPr>
            </w:pPr>
            <w:r>
              <w:rPr>
                <w:rFonts w:ascii="Arial" w:cs="Arial" w:eastAsia="Arial" w:hAnsi="Arial"/>
                <w:sz w:val="17"/>
                <w:szCs w:val="17"/>
                <w:b w:val="1"/>
                <w:bCs w:val="1"/>
                <w:color w:val="auto"/>
                <w:w w:val="95"/>
              </w:rPr>
              <w:t>(unaudited)</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tcPr>
          <w:p>
            <w:pPr>
              <w:spacing w:after="0"/>
              <w:rPr>
                <w:sz w:val="19"/>
                <w:szCs w:val="19"/>
                <w:color w:val="auto"/>
              </w:rPr>
            </w:pPr>
          </w:p>
        </w:tc>
        <w:tc>
          <w:tcPr>
            <w:tcW w:w="4080" w:type="dxa"/>
            <w:vAlign w:val="bottom"/>
            <w:gridSpan w:val="8"/>
          </w:tcPr>
          <w:p>
            <w:pPr>
              <w:jc w:val="center"/>
              <w:ind w:right="20"/>
              <w:spacing w:after="0"/>
              <w:rPr>
                <w:sz w:val="20"/>
                <w:szCs w:val="20"/>
                <w:color w:val="auto"/>
              </w:rPr>
            </w:pPr>
            <w:r>
              <w:rPr>
                <w:rFonts w:ascii="Arial" w:cs="Arial" w:eastAsia="Arial" w:hAnsi="Arial"/>
                <w:sz w:val="17"/>
                <w:szCs w:val="17"/>
                <w:b w:val="1"/>
                <w:bCs w:val="1"/>
                <w:color w:val="auto"/>
                <w:w w:val="90"/>
              </w:rPr>
              <w:t>(in thousands, except share and per share amounts)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7"/>
                <w:szCs w:val="17"/>
                <w:b w:val="1"/>
                <w:bCs w:val="1"/>
                <w:color w:val="auto"/>
              </w:rPr>
              <w:t>Three Months Ended September 30,</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5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9,162</w:t>
            </w:r>
          </w:p>
        </w:tc>
        <w:tc>
          <w:tcPr>
            <w:tcW w:w="200" w:type="dxa"/>
            <w:vAlign w:val="bottom"/>
          </w:tcPr>
          <w:p>
            <w:pPr>
              <w:spacing w:after="0"/>
              <w:rPr>
                <w:sz w:val="19"/>
                <w:szCs w:val="19"/>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5,992</w:t>
            </w:r>
          </w:p>
        </w:tc>
        <w:tc>
          <w:tcPr>
            <w:tcW w:w="54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24,326</w:t>
            </w:r>
          </w:p>
        </w:tc>
        <w:tc>
          <w:tcPr>
            <w:tcW w:w="20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17,75</w:t>
            </w: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5,935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2,709</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15"/>
        </w:trPr>
        <w:tc>
          <w:tcPr>
            <w:tcW w:w="360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15,097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8,701</w:t>
            </w:r>
          </w:p>
        </w:tc>
        <w:tc>
          <w:tcPr>
            <w:tcW w:w="5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39,821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24,44</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(15,097)</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(8,701)</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(39,821)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(24,44</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income, net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2"/>
        </w:trPr>
        <w:tc>
          <w:tcPr>
            <w:tcW w:w="3600" w:type="dxa"/>
            <w:vAlign w:val="bottom"/>
          </w:tcPr>
          <w:p>
            <w:pPr>
              <w:ind w:left="240"/>
              <w:spacing w:after="0"/>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ind w:left="480"/>
              <w:spacing w:after="0"/>
              <w:rPr>
                <w:sz w:val="20"/>
                <w:szCs w:val="20"/>
                <w:color w:val="auto"/>
              </w:rPr>
            </w:pPr>
            <w:r>
              <w:rPr>
                <w:rFonts w:ascii="Arial" w:cs="Arial" w:eastAsia="Arial" w:hAnsi="Arial"/>
                <w:sz w:val="17"/>
                <w:szCs w:val="17"/>
                <w:color w:val="auto"/>
              </w:rPr>
              <w:t>Total other income (expense)</w:t>
            </w: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40"/>
              <w:spacing w:after="0"/>
              <w:rPr>
                <w:sz w:val="20"/>
                <w:szCs w:val="20"/>
                <w:color w:val="auto"/>
              </w:rPr>
            </w:pPr>
            <w:r>
              <w:rPr>
                <w:rFonts w:ascii="Arial" w:cs="Arial" w:eastAsia="Arial" w:hAnsi="Arial"/>
                <w:sz w:val="17"/>
                <w:szCs w:val="17"/>
                <w:color w:val="auto"/>
              </w:rPr>
              <w:t>Loss before provision for income taxes</w:t>
            </w: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(14,992)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7"/>
                <w:szCs w:val="17"/>
                <w:color w:val="auto"/>
              </w:rPr>
              <w:t>(8,761)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(39,464)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(23,98</w:t>
            </w: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240"/>
              <w:spacing w:after="0"/>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(15,011)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7"/>
                <w:szCs w:val="17"/>
                <w:color w:val="auto"/>
              </w:rPr>
              <w:t>(8,764)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(39,487)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(23,98</w:t>
            </w: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Unrealized gains (losses) on marketable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securities, net of tax</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ind w:left="240"/>
              <w:spacing w:after="0"/>
              <w:rPr>
                <w:sz w:val="20"/>
                <w:szCs w:val="20"/>
                <w:color w:val="auto"/>
              </w:rPr>
            </w:pPr>
            <w:r>
              <w:rPr>
                <w:rFonts w:ascii="Arial" w:cs="Arial" w:eastAsia="Arial" w:hAnsi="Arial"/>
                <w:sz w:val="17"/>
                <w:szCs w:val="17"/>
                <w:color w:val="auto"/>
              </w:rPr>
              <w:t>Comprehensive loss</w:t>
            </w: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6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(15,004)</w:t>
            </w:r>
          </w:p>
        </w:tc>
        <w:tc>
          <w:tcPr>
            <w:tcW w:w="6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7"/>
                <w:szCs w:val="17"/>
                <w:color w:val="auto"/>
              </w:rPr>
              <w:t>(8,769)</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(39,473)</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(23,98</w:t>
            </w:r>
          </w:p>
        </w:tc>
        <w:tc>
          <w:tcPr>
            <w:tcW w:w="0" w:type="dxa"/>
            <w:vAlign w:val="bottom"/>
          </w:tcPr>
          <w:p>
            <w:pPr>
              <w:spacing w:after="0"/>
              <w:rPr>
                <w:sz w:val="1"/>
                <w:szCs w:val="1"/>
                <w:color w:val="auto"/>
              </w:rPr>
            </w:pPr>
          </w:p>
        </w:tc>
      </w:tr>
      <w:tr>
        <w:trPr>
          <w:trHeight w:val="202"/>
        </w:trPr>
        <w:tc>
          <w:tcPr>
            <w:tcW w:w="36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600" w:type="dxa"/>
            <w:vAlign w:val="bottom"/>
          </w:tcPr>
          <w:p>
            <w:pPr>
              <w:ind w:left="240"/>
              <w:spacing w:after="0"/>
              <w:rPr>
                <w:sz w:val="20"/>
                <w:szCs w:val="20"/>
                <w:color w:val="auto"/>
              </w:rPr>
            </w:pPr>
            <w:r>
              <w:rPr>
                <w:rFonts w:ascii="Arial" w:cs="Arial" w:eastAsia="Arial" w:hAnsi="Arial"/>
                <w:sz w:val="17"/>
                <w:szCs w:val="17"/>
                <w:color w:val="auto"/>
              </w:rPr>
              <w:t>Net loss per share -- basic and diluted</w:t>
            </w:r>
          </w:p>
        </w:tc>
        <w:tc>
          <w:tcPr>
            <w:tcW w:w="5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(0.33)</w:t>
            </w:r>
          </w:p>
        </w:tc>
        <w:tc>
          <w:tcPr>
            <w:tcW w:w="6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7"/>
                <w:szCs w:val="17"/>
                <w:color w:val="auto"/>
              </w:rPr>
              <w:t>(1.46)</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(0.88)</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2"/>
        </w:trPr>
        <w:tc>
          <w:tcPr>
            <w:tcW w:w="3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w w:val="93"/>
              </w:rPr>
              <w:t>Weighted-average common shares outstanding</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45,295,232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6,022,457</w:t>
            </w:r>
          </w:p>
        </w:tc>
        <w:tc>
          <w:tcPr>
            <w:tcW w:w="5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45,052,100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4,045,52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Contact</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color w:val="auto"/>
        </w:rPr>
        <w:t>For Investors &amp; Media:</w:t>
      </w: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color w:val="auto"/>
        </w:rPr>
        <w:t>Winston Kung</w:t>
      </w:r>
    </w:p>
    <w:p>
      <w:pPr>
        <w:spacing w:after="0" w:line="234" w:lineRule="auto"/>
        <w:rPr>
          <w:sz w:val="20"/>
          <w:szCs w:val="20"/>
          <w:color w:val="auto"/>
        </w:rPr>
      </w:pPr>
      <w:r>
        <w:rPr>
          <w:rFonts w:ascii="Arial" w:cs="Arial" w:eastAsia="Arial" w:hAnsi="Arial"/>
          <w:sz w:val="21"/>
          <w:szCs w:val="21"/>
          <w:color w:val="auto"/>
        </w:rPr>
        <w:t>Chief Financial Officer</w:t>
      </w:r>
    </w:p>
    <w:p>
      <w:pPr>
        <w:spacing w:after="0"/>
        <w:rPr>
          <w:sz w:val="20"/>
          <w:szCs w:val="20"/>
          <w:color w:val="auto"/>
        </w:rPr>
      </w:pPr>
      <w:r>
        <w:rPr>
          <w:rFonts w:ascii="Arial" w:cs="Arial" w:eastAsia="Arial" w:hAnsi="Arial"/>
          <w:sz w:val="21"/>
          <w:szCs w:val="21"/>
          <w:u w:val="single" w:color="auto"/>
          <w:color w:val="03AFFD"/>
        </w:rPr>
        <w:t>investors@pmvpharma.com</w:t>
      </w:r>
    </w:p>
    <w:sectPr>
      <w:pgSz w:w="11900" w:h="16838" w:orient="portrait"/>
      <w:cols w:equalWidth="0" w:num="1">
        <w:col w:w="11340"/>
      </w:cols>
      <w:pgMar w:left="32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2021-11-12T09:06:31Z</dcterms:created>
  <dcterms:modified xsi:type="dcterms:W3CDTF">2021-11-12T09:06:31Z</dcterms:modified>
</cp:coreProperties>
</file>