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Mack David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RESEARCH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11"/>
        <w:gridCol w:w="446"/>
        <w:gridCol w:w="664"/>
        <w:gridCol w:w="1150"/>
        <w:gridCol w:w="988"/>
        <w:gridCol w:w="10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198,407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0.53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363,877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11/10/2023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85,307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278,570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11/10/2023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85,307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165,307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147,915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56,978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198,407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198,407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109,459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held of record by the Stinson 2021 Irrevocable Trust. The reporting person disclaims beneficial ownership of these securities except to the extent of any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of record by The Mack-Mulligan Revocable Trust. The reporting person disclaims beneficial ownership of these securities except to the extent of any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of record by the Mack/Mulligan 2020 Irrevocable Descendants' Trust. The reporting person disclaims beneficial ownership of these securities except to the extent of any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subject to the option are fully vested and immediately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H. Mack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41642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3907</Characters>
  <CharactersWithSpaces>4527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