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6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92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92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1 Research Way</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2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08536</w:t>
            </w:r>
          </w:p>
        </w:tc>
      </w:tr>
      <w:tr>
        <w:trPr>
          <w:trHeight w:val="188"/>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20" w:type="dxa"/>
            <w:vAlign w:val="bottom"/>
          </w:tcPr>
          <w:p>
            <w:pPr>
              <w:spacing w:after="0"/>
              <w:rPr>
                <w:sz w:val="16"/>
                <w:szCs w:val="16"/>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7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March 1, 2023, PMV Pharmaceuticals, Inc. issued a press release announcing its financial results for the year ended December 31, 2022. The full text of the press release is attached as Exhibit 99.1 to this Current Report on Form 8-K and is incorporated herein by reference.</w:t>
      </w:r>
    </w:p>
    <w:p>
      <w:pPr>
        <w:spacing w:after="0" w:line="16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20" w:type="dxa"/>
            <w:vAlign w:val="bottom"/>
            <w:gridSpan w:val="2"/>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PMV Pharmaceuticals, Inc., dated March 1, 2023.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tcBorders>
              <w:right w:val="single" w:sz="8" w:color="0000EE"/>
            </w:tcBorders>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61"/>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52"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Winston Kung</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Chief Operating Officer, and</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PMV Pharmaceuticals Reports Full Year 2022 Financial Results and Corporate Highlights</w:t>
      </w:r>
    </w:p>
    <w:p>
      <w:pPr>
        <w:spacing w:after="0" w:line="86" w:lineRule="exact"/>
        <w:rPr>
          <w:sz w:val="20"/>
          <w:szCs w:val="20"/>
          <w:color w:val="auto"/>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progress in ongoing Phase 1/2 PYNNACLE study of PC14586, a first-in-class precision oncology investigational therapy in patients with advanced solid tumors with a p53 Y220C mutation; PMV expects to provide next clinical update in 2H 2023</w:t>
      </w:r>
    </w:p>
    <w:p>
      <w:pPr>
        <w:spacing w:after="0" w:line="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Enrolled first patient in combination arm of the PYNNACLE study with PC14586 and 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cash equivalents, and marketable securities of $243.5 million as of December 31, 2022</w:t>
      </w: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March 1, 2023 - PMV Pharmaceuticals, Inc. (Nasdaq: PMVP), a precision oncology company pioneering the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and development of small molecule, tumor-agnostic therapies targeting p53, today reported financial results for the full year ended December 31, 2022, and provided a corporate update.</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team successfully delivered on key clinical development milestones in 2022, highlighted by the preliminary monotherapy data from the ongoing PYNNACLE study, and the initiation of a separate combination arm of PC14586 with KEYTRUDA,” said David Mack, Ph.D., President and Chief Executive Officer. “The initial PC14586 data have demonstrated clinical proof of concept for PC14586 as a monotherapy to selectively reactivate p53 across multiple tumor types. In alignment with FDA draft guidance on Project Optimus, we continue to enroll additional patients in the PYNNACLE study and intend to provide a comprehensive clinical and regulatory update, including our recommended Phase 2 dose, in the second half of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and Recent Corporate Highlights:</w:t>
      </w:r>
    </w:p>
    <w:p>
      <w:pPr>
        <w:spacing w:after="0" w:line="104" w:lineRule="exact"/>
        <w:rPr>
          <w:sz w:val="20"/>
          <w:szCs w:val="20"/>
          <w:color w:val="auto"/>
        </w:rPr>
      </w:pPr>
    </w:p>
    <w:p>
      <w:pPr>
        <w:jc w:val="both"/>
        <w:ind w:left="76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Preliminary results from the ongoing Phase 1/2 PYNNACLE study of PC14586 in patients with advanced solid tumors harboring a p53 Y220C mutation were featured in an oral presentation at the American Society of Clinical Oncology (ASCO) 2022 Annual Meeting. Patient enrollment in PYNNACLE continues on track.</w:t>
      </w:r>
    </w:p>
    <w:p>
      <w:pPr>
        <w:spacing w:after="0" w:line="68" w:lineRule="exact"/>
        <w:rPr>
          <w:rFonts w:ascii="Times New Roman" w:cs="Times New Roman" w:eastAsia="Times New Roman" w:hAnsi="Times New Roman"/>
          <w:sz w:val="18"/>
          <w:szCs w:val="18"/>
          <w:color w:val="auto"/>
        </w:rPr>
      </w:pPr>
    </w:p>
    <w:p>
      <w:pPr>
        <w:jc w:val="both"/>
        <w:ind w:left="760" w:hanging="378"/>
        <w:spacing w:after="0" w:line="231"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Enrolled the first patient in a combination arm of the PYNNACLE study evaluating PC14586 in combination with 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in patients with advanced solid tumors harboring a p53 Y220C mutation. PMV and Merck entered into a collaboration in 2022 under the terms of which Merck will supply KEYTRUDA for this study.</w:t>
      </w:r>
    </w:p>
    <w:p>
      <w:pPr>
        <w:spacing w:after="0" w:line="67" w:lineRule="exact"/>
        <w:rPr>
          <w:rFonts w:ascii="Times New Roman" w:cs="Times New Roman" w:eastAsia="Times New Roman" w:hAnsi="Times New Roman"/>
          <w:sz w:val="18"/>
          <w:szCs w:val="18"/>
          <w:color w:val="auto"/>
        </w:rPr>
      </w:pPr>
    </w:p>
    <w:p>
      <w:pPr>
        <w:ind w:left="760" w:hanging="378"/>
        <w:spacing w:after="0" w:line="29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Appointed </w:t>
      </w:r>
      <w:r>
        <w:rPr>
          <w:rFonts w:ascii="Calibri" w:cs="Calibri" w:eastAsia="Calibri" w:hAnsi="Calibri"/>
          <w:sz w:val="19"/>
          <w:szCs w:val="19"/>
          <w:color w:val="auto"/>
        </w:rPr>
        <w:t>Kirsten</w:t>
      </w:r>
      <w:r>
        <w:rPr>
          <w:rFonts w:ascii="Arial" w:cs="Arial" w:eastAsia="Arial" w:hAnsi="Arial"/>
          <w:sz w:val="18"/>
          <w:szCs w:val="18"/>
          <w:color w:val="auto"/>
        </w:rPr>
        <w:t xml:space="preserve"> Flowers and Carol Gallagher, Pharm.D. to the Board of Directors. Ms. Flowers and Dr. Gallagher each bring decades of experience in drug development and commercialization.</w:t>
      </w:r>
    </w:p>
    <w:p>
      <w:pPr>
        <w:spacing w:after="0" w:line="17"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Michael Carulli to Senior Vice President, Finance. Mr. Carulli joined PMV in 2020 and has made significant contributions in building the finance function as the company transitioned to becoming a publicly traded company.</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Primary focus on the clinical development of PC14586 and the pipeline program R282W.</w:t>
      </w:r>
    </w:p>
    <w:p>
      <w:pPr>
        <w:spacing w:after="0" w:line="26" w:lineRule="exact"/>
        <w:rPr>
          <w:rFonts w:ascii="Times New Roman" w:cs="Times New Roman" w:eastAsia="Times New Roman" w:hAnsi="Times New Roman"/>
          <w:sz w:val="18"/>
          <w:szCs w:val="18"/>
          <w:color w:val="auto"/>
        </w:rPr>
      </w:pPr>
    </w:p>
    <w:p>
      <w:pPr>
        <w:ind w:left="760"/>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The WIP-1 and R273H programs have been put on hold which we expect will extend the company’s projected cash runway to 1H 2025.</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Global headquarters moved to Princeton, NJ.</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Financial Results</w:t>
      </w:r>
    </w:p>
    <w:p>
      <w:pPr>
        <w:spacing w:after="0" w:line="104" w:lineRule="exact"/>
        <w:rPr>
          <w:sz w:val="20"/>
          <w:szCs w:val="20"/>
          <w:color w:val="auto"/>
        </w:rPr>
      </w:pPr>
    </w:p>
    <w:p>
      <w:pPr>
        <w:jc w:val="both"/>
        <w:ind w:left="76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As of December 31, 2022, PMV Pharma had $243.5 million in cash, cash equivalents, and marketable securities, compared to $314.1 million at December 31, 2021. Net cash used in operations was $63.8 million for the year ended December 31, 2022, compared to $46.6 million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76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year ended December 31, 2022, was $73.3 million compared to $57.8 million for the year ended December 31, 2021.</w:t>
      </w:r>
    </w:p>
    <w:p>
      <w:pPr>
        <w:spacing w:after="0" w:line="46"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$52.0 million for the year ended December 31, 2022, compared to $36.5 million for the year ended December 31, 2021. The increase in R&amp;D expenses was primarily related to increased headcount and clinical expenses for advancing PC14586, the Company’s lead drug candidate.</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$25.1 million for the year ended December 31, 2022, compared to $21.8 million for the year ended December 31, 2021. The increase in G&amp;A expenses was primarily due to expanding the infrastructure necessary for operating as a public company.</w:t>
      </w:r>
    </w:p>
    <w:p>
      <w:pPr>
        <w:spacing w:after="0" w:line="16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is a registered trademark of Merck Sharp &amp; Dohme LLC., a subsidiary of Merck &amp; Co., Inc., Rahway, NJ, USA.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PC14586</w:t>
      </w:r>
    </w:p>
    <w:p>
      <w:pPr>
        <w:spacing w:after="0" w:line="3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wild-type, or normal, p53 protein structure and tumor-suppressing function. The U.S. Food and Drug Administration granted Fast Track designation to PC14586 for the treatment of patients with locally advanced or metastatic solid tumors that have a p53 Y220C mutation. For more information about the Phase 1/2 PYNNACLE trial (PMV-586-101), refer to www.clinicaltrials.gov (NCT study identifier NCT04585750).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3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Princeton, New Jersey. For more information, please visit </w:t>
      </w:r>
      <w:r>
        <w:rPr>
          <w:rFonts w:ascii="Arial" w:cs="Arial" w:eastAsia="Arial" w:hAnsi="Arial"/>
          <w:sz w:val="18"/>
          <w:szCs w:val="18"/>
          <w:u w:val="single" w:color="auto"/>
          <w:color w:val="03AFFD"/>
        </w:rPr>
        <w:t>www.pmvpharma.com</w:t>
      </w:r>
      <w:r>
        <w:rPr>
          <w:rFonts w:ascii="Arial" w:cs="Arial" w:eastAsia="Arial" w:hAnsi="Arial"/>
          <w:sz w:val="18"/>
          <w:szCs w:val="18"/>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progress and timing for its Phase 1 update for the PYNNACLE study and its Phase 1/2 combination trial of PC14586 and KEYTRUDA, as well as expectations regarding the success of its current clinical trial for PC14586 and any future commercialization plans for the product candidate, and its guidance on its expected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 w:name="page6"/>
    <w:bookmarkEnd w:id="5"/>
    <w:p>
      <w:pPr>
        <w:jc w:val="both"/>
        <w:spacing w:after="0" w:line="244" w:lineRule="auto"/>
        <w:rPr>
          <w:sz w:val="20"/>
          <w:szCs w:val="20"/>
          <w:color w:val="auto"/>
        </w:rPr>
      </w:pPr>
      <w:r>
        <w:rPr>
          <w:rFonts w:ascii="Arial" w:cs="Arial" w:eastAsia="Arial" w:hAnsi="Arial"/>
          <w:sz w:val="18"/>
          <w:szCs w:val="18"/>
          <w:color w:val="auto"/>
        </w:rPr>
        <w:t>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2023,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45"/>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right"/>
              <w:ind w:right="62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460" w:type="dxa"/>
            <w:vAlign w:val="bottom"/>
            <w:gridSpan w:val="2"/>
          </w:tcPr>
          <w:p>
            <w:pPr>
              <w:jc w:val="right"/>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1"/>
        </w:trPr>
        <w:tc>
          <w:tcPr>
            <w:tcW w:w="7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172,467</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132,757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301,286</w:t>
            </w:r>
          </w:p>
        </w:tc>
        <w:tc>
          <w:tcPr>
            <w:tcW w:w="100" w:type="dxa"/>
            <w:vAlign w:val="bottom"/>
            <w:shd w:val="clear" w:color="auto" w:fill="CFF0FC"/>
          </w:tcPr>
          <w:p>
            <w:pPr>
              <w:spacing w:after="0"/>
              <w:rPr>
                <w:sz w:val="19"/>
                <w:szCs w:val="19"/>
                <w:color w:val="auto"/>
              </w:rPr>
            </w:pPr>
          </w:p>
        </w:tc>
      </w:tr>
      <w:tr>
        <w:trPr>
          <w:trHeight w:val="225"/>
        </w:trPr>
        <w:tc>
          <w:tcPr>
            <w:tcW w:w="7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Pr>
          <w:p>
            <w:pPr>
              <w:spacing w:after="0"/>
              <w:rPr>
                <w:sz w:val="19"/>
                <w:szCs w:val="19"/>
                <w:color w:val="auto"/>
              </w:rPr>
            </w:pPr>
          </w:p>
        </w:tc>
      </w:tr>
      <w:tr>
        <w:trPr>
          <w:trHeight w:val="225"/>
        </w:trPr>
        <w:tc>
          <w:tcPr>
            <w:tcW w:w="7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1"/>
        </w:trPr>
        <w:tc>
          <w:tcPr>
            <w:tcW w:w="77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19"/>
                <w:szCs w:val="19"/>
                <w:color w:val="auto"/>
              </w:rPr>
            </w:pPr>
          </w:p>
        </w:tc>
      </w:tr>
      <w:tr>
        <w:trPr>
          <w:trHeight w:val="225"/>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tcPr>
          <w:p>
            <w:pPr>
              <w:spacing w:after="0"/>
              <w:rPr>
                <w:sz w:val="19"/>
                <w:szCs w:val="19"/>
                <w:color w:val="auto"/>
              </w:rPr>
            </w:pPr>
          </w:p>
        </w:tc>
      </w:tr>
      <w:tr>
        <w:trPr>
          <w:trHeight w:val="225"/>
        </w:trPr>
        <w:tc>
          <w:tcPr>
            <w:tcW w:w="7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476,363</w:t>
            </w: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(241,043 )</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(167,726 )</w:t>
            </w:r>
          </w:p>
        </w:tc>
      </w:tr>
      <w:tr>
        <w:trPr>
          <w:trHeight w:val="225"/>
        </w:trPr>
        <w:tc>
          <w:tcPr>
            <w:tcW w:w="7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(445 )</w:t>
            </w:r>
          </w:p>
        </w:tc>
        <w:tc>
          <w:tcPr>
            <w:tcW w:w="2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r>
      <w:tr>
        <w:trPr>
          <w:trHeight w:val="225"/>
        </w:trPr>
        <w:tc>
          <w:tcPr>
            <w:tcW w:w="7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246,028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308,559</w:t>
            </w:r>
          </w:p>
        </w:tc>
        <w:tc>
          <w:tcPr>
            <w:tcW w:w="100" w:type="dxa"/>
            <w:vAlign w:val="bottom"/>
            <w:shd w:val="clear" w:color="auto" w:fill="CFF0FC"/>
          </w:tcPr>
          <w:p>
            <w:pPr>
              <w:spacing w:after="0"/>
              <w:rPr>
                <w:sz w:val="19"/>
                <w:szCs w:val="19"/>
                <w:color w:val="auto"/>
              </w:rPr>
            </w:pPr>
          </w:p>
        </w:tc>
      </w:tr>
      <w:tr>
        <w:trPr>
          <w:trHeight w:val="225"/>
        </w:trPr>
        <w:tc>
          <w:tcPr>
            <w:tcW w:w="7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Pr>
          <w:p>
            <w:pPr>
              <w:spacing w:after="0"/>
              <w:rPr>
                <w:sz w:val="19"/>
                <w:szCs w:val="19"/>
                <w:color w:val="auto"/>
              </w:rPr>
            </w:pPr>
          </w:p>
        </w:tc>
      </w:tr>
      <w:tr>
        <w:trPr>
          <w:trHeight w:val="225"/>
        </w:trPr>
        <w:tc>
          <w:tcPr>
            <w:tcW w:w="7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7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-4885690</wp:posOffset>
            </wp:positionV>
            <wp:extent cx="121729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17295" cy="3511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-3076575</wp:posOffset>
            </wp:positionV>
            <wp:extent cx="7747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-2485390</wp:posOffset>
            </wp:positionV>
            <wp:extent cx="1217295"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7295" cy="31686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-702310</wp:posOffset>
            </wp:positionV>
            <wp:extent cx="7747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78"/>
        </w:trPr>
        <w:tc>
          <w:tcPr>
            <w:tcW w:w="77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131"/>
        </w:trPr>
        <w:tc>
          <w:tcPr>
            <w:tcW w:w="7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right"/>
              <w:ind w:right="54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360" w:type="dxa"/>
            <w:vAlign w:val="bottom"/>
            <w:gridSpan w:val="2"/>
          </w:tcPr>
          <w:p>
            <w:pPr>
              <w:jc w:val="right"/>
              <w:ind w:right="40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1"/>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58,293</w:t>
            </w:r>
          </w:p>
        </w:tc>
        <w:tc>
          <w:tcPr>
            <w:tcW w:w="100" w:type="dxa"/>
            <w:vAlign w:val="bottom"/>
          </w:tcPr>
          <w:p>
            <w:pPr>
              <w:spacing w:after="0"/>
              <w:rPr>
                <w:sz w:val="19"/>
                <w:szCs w:val="19"/>
                <w:color w:val="auto"/>
              </w:rPr>
            </w:pPr>
          </w:p>
        </w:tc>
      </w:tr>
      <w:tr>
        <w:trPr>
          <w:trHeight w:val="225"/>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5"/>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25"/>
        </w:trPr>
        <w:tc>
          <w:tcPr>
            <w:tcW w:w="7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19"/>
                <w:szCs w:val="19"/>
                <w:color w:val="auto"/>
              </w:rPr>
            </w:pPr>
          </w:p>
        </w:tc>
      </w:tr>
      <w:tr>
        <w:trPr>
          <w:trHeight w:val="225"/>
        </w:trPr>
        <w:tc>
          <w:tcPr>
            <w:tcW w:w="7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240" w:type="dxa"/>
            <w:vAlign w:val="bottom"/>
          </w:tcPr>
          <w:p>
            <w:pPr>
              <w:spacing w:after="0"/>
              <w:rPr>
                <w:sz w:val="19"/>
                <w:szCs w:val="19"/>
                <w:color w:val="auto"/>
              </w:rPr>
            </w:pPr>
          </w:p>
        </w:tc>
        <w:tc>
          <w:tcPr>
            <w:tcW w:w="1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(73,326 )</w:t>
            </w:r>
          </w:p>
        </w:tc>
        <w:tc>
          <w:tcPr>
            <w:tcW w:w="3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(57,823 )</w:t>
            </w:r>
          </w:p>
        </w:tc>
      </w:tr>
      <w:tr>
        <w:trPr>
          <w:trHeight w:val="225"/>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0"/>
                <w:szCs w:val="20"/>
                <w:color w:val="auto"/>
              </w:rPr>
            </w:pPr>
          </w:p>
        </w:tc>
      </w:tr>
      <w:tr>
        <w:trPr>
          <w:trHeight w:val="225"/>
        </w:trPr>
        <w:tc>
          <w:tcPr>
            <w:tcW w:w="7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9"/>
                <w:szCs w:val="19"/>
                <w:color w:val="auto"/>
              </w:rPr>
            </w:pPr>
          </w:p>
        </w:tc>
        <w:tc>
          <w:tcPr>
            <w:tcW w:w="1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(73,317 )</w:t>
            </w:r>
          </w:p>
        </w:tc>
        <w:tc>
          <w:tcPr>
            <w:tcW w:w="3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(57,846 )</w:t>
            </w:r>
          </w:p>
        </w:tc>
      </w:tr>
      <w:tr>
        <w:trPr>
          <w:trHeight w:val="225"/>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(367 )</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5"/>
        </w:trPr>
        <w:tc>
          <w:tcPr>
            <w:tcW w:w="7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(73,684 )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(57,924 )</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45,594,824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45,137,656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-3448685</wp:posOffset>
            </wp:positionV>
            <wp:extent cx="7683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-3448685</wp:posOffset>
            </wp:positionV>
            <wp:extent cx="6858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-1673860</wp:posOffset>
            </wp:positionV>
            <wp:extent cx="76835"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-1673860</wp:posOffset>
            </wp:positionV>
            <wp:extent cx="6858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-1082675</wp:posOffset>
            </wp:positionV>
            <wp:extent cx="76835"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-1082675</wp:posOffset>
            </wp:positionV>
            <wp:extent cx="6858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-490855</wp:posOffset>
            </wp:positionV>
            <wp:extent cx="7683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PMV Pharmaceuticals, Inc.</w:t>
      </w:r>
    </w:p>
    <w:p>
      <w:pPr>
        <w:spacing w:after="0"/>
        <w:rPr>
          <w:sz w:val="20"/>
          <w:szCs w:val="20"/>
          <w:color w:val="auto"/>
        </w:rPr>
      </w:pPr>
      <w:r>
        <w:rPr>
          <w:rFonts w:ascii="Arial" w:cs="Arial" w:eastAsia="Arial" w:hAnsi="Arial"/>
          <w:sz w:val="18"/>
          <w:szCs w:val="18"/>
          <w:color w:val="auto"/>
        </w:rPr>
        <w:t>investors@pmvpharma.com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Greig Communications</w:t>
      </w: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2023-03-01T07:16:07Z</dcterms:created>
  <dcterms:modified xsi:type="dcterms:W3CDTF">2023-03-01T07:16:07Z</dcterms:modified>
</cp:coreProperties>
</file>