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September 24, 2020.</w:t>
      </w:r>
    </w:p>
    <w:p>
      <w:pPr>
        <w:spacing w:after="0" w:line="10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333-248627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Amendment No. 2</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to</w:t>
      </w: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PMV PHARMACEUTICALS, INC.</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right"/>
              <w:ind w:right="1688"/>
              <w:spacing w:after="0"/>
              <w:rPr>
                <w:sz w:val="20"/>
                <w:szCs w:val="20"/>
                <w:color w:val="auto"/>
              </w:rPr>
            </w:pPr>
            <w:r>
              <w:rPr>
                <w:rFonts w:ascii="Arial" w:cs="Arial" w:eastAsia="Arial" w:hAnsi="Arial"/>
                <w:sz w:val="14"/>
                <w:szCs w:val="14"/>
                <w:b w:val="1"/>
                <w:bCs w:val="1"/>
                <w:color w:val="auto"/>
              </w:rPr>
              <w:t>2834</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46-3218129</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r>
        <w:trPr>
          <w:trHeight w:val="203"/>
        </w:trPr>
        <w:tc>
          <w:tcPr>
            <w:tcW w:w="2920" w:type="dxa"/>
            <w:vAlign w:val="bottom"/>
          </w:tcPr>
          <w:p>
            <w:pPr>
              <w:spacing w:after="0"/>
              <w:rPr>
                <w:sz w:val="17"/>
                <w:szCs w:val="17"/>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8 Clarke Drive, Suite 3</w:t>
            </w:r>
          </w:p>
        </w:tc>
        <w:tc>
          <w:tcPr>
            <w:tcW w:w="2480" w:type="dxa"/>
            <w:vAlign w:val="bottom"/>
          </w:tcPr>
          <w:p>
            <w:pPr>
              <w:spacing w:after="0"/>
              <w:rPr>
                <w:sz w:val="17"/>
                <w:szCs w:val="17"/>
                <w:color w:val="auto"/>
              </w:rPr>
            </w:pPr>
          </w:p>
        </w:tc>
      </w:tr>
      <w:tr>
        <w:trPr>
          <w:trHeight w:val="162"/>
        </w:trPr>
        <w:tc>
          <w:tcPr>
            <w:tcW w:w="2920" w:type="dxa"/>
            <w:vAlign w:val="bottom"/>
          </w:tcPr>
          <w:p>
            <w:pPr>
              <w:spacing w:after="0"/>
              <w:rPr>
                <w:sz w:val="14"/>
                <w:szCs w:val="14"/>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Cranbury, NJ 08512</w:t>
            </w:r>
          </w:p>
        </w:tc>
        <w:tc>
          <w:tcPr>
            <w:tcW w:w="2480" w:type="dxa"/>
            <w:vAlign w:val="bottom"/>
          </w:tcPr>
          <w:p>
            <w:pPr>
              <w:spacing w:after="0"/>
              <w:rPr>
                <w:sz w:val="14"/>
                <w:szCs w:val="14"/>
                <w:color w:val="auto"/>
              </w:rPr>
            </w:pPr>
          </w:p>
        </w:tc>
      </w:tr>
      <w:tr>
        <w:trPr>
          <w:trHeight w:val="202"/>
        </w:trPr>
        <w:tc>
          <w:tcPr>
            <w:tcW w:w="2920" w:type="dxa"/>
            <w:vAlign w:val="bottom"/>
          </w:tcPr>
          <w:p>
            <w:pPr>
              <w:spacing w:after="0"/>
              <w:rPr>
                <w:sz w:val="17"/>
                <w:szCs w:val="17"/>
                <w:color w:val="auto"/>
              </w:rPr>
            </w:pPr>
          </w:p>
        </w:tc>
        <w:tc>
          <w:tcPr>
            <w:tcW w:w="3780" w:type="dxa"/>
            <w:vAlign w:val="bottom"/>
          </w:tcPr>
          <w:p>
            <w:pPr>
              <w:jc w:val="right"/>
              <w:ind w:right="1348"/>
              <w:spacing w:after="0"/>
              <w:rPr>
                <w:sz w:val="20"/>
                <w:szCs w:val="20"/>
                <w:color w:val="auto"/>
              </w:rPr>
            </w:pPr>
            <w:r>
              <w:rPr>
                <w:rFonts w:ascii="Arial" w:cs="Arial" w:eastAsia="Arial" w:hAnsi="Arial"/>
                <w:sz w:val="14"/>
                <w:szCs w:val="14"/>
                <w:b w:val="1"/>
                <w:bCs w:val="1"/>
                <w:color w:val="auto"/>
              </w:rPr>
              <w:t>(609) 642-6670</w:t>
            </w:r>
          </w:p>
        </w:tc>
        <w:tc>
          <w:tcPr>
            <w:tcW w:w="2480" w:type="dxa"/>
            <w:vAlign w:val="bottom"/>
          </w:tcPr>
          <w:p>
            <w:pPr>
              <w:spacing w:after="0"/>
              <w:rPr>
                <w:sz w:val="17"/>
                <w:szCs w:val="17"/>
                <w:color w:val="auto"/>
              </w:rPr>
            </w:pPr>
          </w:p>
        </w:tc>
      </w:tr>
    </w:tbl>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David H. Mack, Ph.D.</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 Clarke Drive, Suite 3</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Cranbury, NJ 08512</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(609) 642-6670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7" w:lineRule="exact"/>
        <w:rPr>
          <w:sz w:val="24"/>
          <w:szCs w:val="24"/>
          <w:color w:val="auto"/>
        </w:rPr>
      </w:pPr>
    </w:p>
    <w:tbl>
      <w:tblPr>
        <w:tblLayout w:type="fixed"/>
        <w:tblInd w:w="700" w:type="dxa"/>
        <w:tblCellMar>
          <w:top w:w="0" w:type="dxa"/>
          <w:left w:w="0" w:type="dxa"/>
          <w:bottom w:w="0" w:type="dxa"/>
          <w:right w:w="0" w:type="dxa"/>
        </w:tblCellMar>
      </w:tblPr>
      <w:tr>
        <w:trPr>
          <w:trHeight w:val="200"/>
        </w:trPr>
        <w:tc>
          <w:tcPr>
            <w:tcW w:w="3500" w:type="dxa"/>
            <w:vAlign w:val="bottom"/>
          </w:tcPr>
          <w:p>
            <w:pPr>
              <w:spacing w:after="0"/>
              <w:rPr>
                <w:sz w:val="17"/>
                <w:szCs w:val="17"/>
                <w:color w:val="auto"/>
              </w:rPr>
            </w:pPr>
          </w:p>
        </w:tc>
        <w:tc>
          <w:tcPr>
            <w:tcW w:w="3640" w:type="dxa"/>
            <w:vAlign w:val="bottom"/>
          </w:tcPr>
          <w:p>
            <w:pPr>
              <w:ind w:left="1080"/>
              <w:spacing w:after="0"/>
              <w:rPr>
                <w:sz w:val="20"/>
                <w:szCs w:val="20"/>
                <w:color w:val="auto"/>
              </w:rPr>
            </w:pPr>
            <w:r>
              <w:rPr>
                <w:rFonts w:ascii="Arial" w:cs="Arial" w:eastAsia="Arial" w:hAnsi="Arial"/>
                <w:sz w:val="14"/>
                <w:szCs w:val="14"/>
                <w:b w:val="1"/>
                <w:bCs w:val="1"/>
                <w:i w:val="1"/>
                <w:iCs w:val="1"/>
                <w:color w:val="auto"/>
              </w:rPr>
              <w:t>Copies to:</w:t>
            </w:r>
          </w:p>
        </w:tc>
        <w:tc>
          <w:tcPr>
            <w:tcW w:w="2480" w:type="dxa"/>
            <w:vAlign w:val="bottom"/>
          </w:tcPr>
          <w:p>
            <w:pPr>
              <w:spacing w:after="0"/>
              <w:rPr>
                <w:sz w:val="17"/>
                <w:szCs w:val="17"/>
                <w:color w:val="auto"/>
              </w:rPr>
            </w:pPr>
          </w:p>
        </w:tc>
      </w:tr>
      <w:tr>
        <w:trPr>
          <w:trHeight w:val="203"/>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Kenneth A. Clark</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Winston Kung</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Brian Cuneo</w:t>
            </w:r>
          </w:p>
        </w:tc>
      </w:tr>
      <w:tr>
        <w:trPr>
          <w:trHeight w:val="162"/>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Tony Jeffries</w:t>
            </w:r>
          </w:p>
        </w:tc>
        <w:tc>
          <w:tcPr>
            <w:tcW w:w="3640" w:type="dxa"/>
            <w:vAlign w:val="bottom"/>
          </w:tcPr>
          <w:p>
            <w:pPr>
              <w:jc w:val="center"/>
              <w:ind w:right="48"/>
              <w:spacing w:after="0"/>
              <w:rPr>
                <w:sz w:val="20"/>
                <w:szCs w:val="20"/>
                <w:color w:val="auto"/>
              </w:rPr>
            </w:pPr>
            <w:r>
              <w:rPr>
                <w:rFonts w:ascii="Arial" w:cs="Arial" w:eastAsia="Arial" w:hAnsi="Arial"/>
                <w:sz w:val="14"/>
                <w:szCs w:val="14"/>
                <w:b w:val="1"/>
                <w:bCs w:val="1"/>
                <w:color w:val="auto"/>
              </w:rPr>
              <w:t>Chief Operating Officer and</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Nathan Ajiashvili</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Megan J. Baier</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Chief Financial Officer</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Richard Kim</w:t>
            </w:r>
          </w:p>
        </w:tc>
      </w:tr>
      <w:tr>
        <w:trPr>
          <w:trHeight w:val="162"/>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Wilson Sonsini Goodrich &amp; Rosati, P.C.</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PMV Pharmaceuticals, Inc.</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Latham &amp; Watkins LLP</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650 Page Mill Road</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8 Clarke Drive, Suite 3</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140 Scott Drive</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Palo Alto, CA 94304</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Cranbury, NJ 08512</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Menlo Park, CA 94025</w:t>
            </w:r>
          </w:p>
        </w:tc>
      </w:tr>
      <w:tr>
        <w:trPr>
          <w:trHeight w:val="20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(650) 493-9300</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(609) 642-6670</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(650) 328-4600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64" w:lineRule="exact"/>
        <w:rPr>
          <w:sz w:val="24"/>
          <w:szCs w:val="24"/>
          <w:color w:val="auto"/>
        </w:rPr>
      </w:pPr>
    </w:p>
    <w:p>
      <w:pPr>
        <w:ind w:left="120" w:right="20" w:firstLine="551"/>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520" w:firstLine="551"/>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400" w:firstLine="551"/>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1" w:lineRule="exact"/>
        <w:rPr>
          <w:sz w:val="24"/>
          <w:szCs w:val="24"/>
          <w:color w:val="auto"/>
        </w:rPr>
      </w:pPr>
    </w:p>
    <w:p>
      <w:pPr>
        <w:ind w:left="120" w:right="400" w:firstLine="551"/>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300" w:firstLine="551"/>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120" w:type="dxa"/>
        <w:tblCellMar>
          <w:top w:w="0" w:type="dxa"/>
          <w:left w:w="0" w:type="dxa"/>
          <w:bottom w:w="0" w:type="dxa"/>
          <w:right w:w="0" w:type="dxa"/>
        </w:tblCellMar>
      </w:tblPr>
      <w:tr>
        <w:trPr>
          <w:trHeight w:val="176"/>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18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7" w:lineRule="exact"/>
        <w:rPr>
          <w:sz w:val="24"/>
          <w:szCs w:val="24"/>
          <w:color w:val="auto"/>
        </w:rPr>
      </w:pPr>
    </w:p>
    <w:p>
      <w:pPr>
        <w:jc w:val="both"/>
        <w:ind w:left="120" w:right="120" w:firstLine="551"/>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76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7"/>
        </w:trPr>
        <w:tc>
          <w:tcPr>
            <w:tcW w:w="376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ind w:left="9"/>
              <w:spacing w:after="0" w:line="127" w:lineRule="exact"/>
              <w:rPr>
                <w:sz w:val="20"/>
                <w:szCs w:val="20"/>
                <w:color w:val="auto"/>
              </w:rPr>
            </w:pPr>
            <w:r>
              <w:rPr>
                <w:rFonts w:ascii="Arial" w:cs="Arial" w:eastAsia="Arial" w:hAnsi="Arial"/>
                <w:sz w:val="14"/>
                <w:szCs w:val="14"/>
                <w:b w:val="1"/>
                <w:bCs w:val="1"/>
                <w:color w:val="auto"/>
              </w:rPr>
              <w:t>Proposed</w:t>
            </w:r>
          </w:p>
        </w:tc>
        <w:tc>
          <w:tcPr>
            <w:tcW w:w="1860" w:type="dxa"/>
            <w:vAlign w:val="bottom"/>
            <w:tcBorders>
              <w:right w:val="single" w:sz="8" w:color="auto"/>
            </w:tcBorders>
          </w:tcPr>
          <w:p>
            <w:pPr>
              <w:jc w:val="center"/>
              <w:ind w:left="9"/>
              <w:spacing w:after="0" w:line="127" w:lineRule="exact"/>
              <w:rPr>
                <w:sz w:val="20"/>
                <w:szCs w:val="20"/>
                <w:color w:val="auto"/>
              </w:rPr>
            </w:pPr>
            <w:r>
              <w:rPr>
                <w:rFonts w:ascii="Arial" w:cs="Arial" w:eastAsia="Arial" w:hAnsi="Arial"/>
                <w:sz w:val="14"/>
                <w:szCs w:val="14"/>
                <w:b w:val="1"/>
                <w:bCs w:val="1"/>
                <w:color w:val="auto"/>
              </w:rPr>
              <w:t>Proposed</w:t>
            </w:r>
          </w:p>
        </w:tc>
        <w:tc>
          <w:tcPr>
            <w:tcW w:w="1860" w:type="dxa"/>
            <w:vAlign w:val="bottom"/>
          </w:tcPr>
          <w:p>
            <w:pPr>
              <w:spacing w:after="0"/>
              <w:rPr>
                <w:sz w:val="11"/>
                <w:szCs w:val="11"/>
                <w:color w:val="auto"/>
              </w:rPr>
            </w:pPr>
          </w:p>
        </w:tc>
      </w:tr>
      <w:tr>
        <w:trPr>
          <w:trHeight w:val="162"/>
        </w:trPr>
        <w:tc>
          <w:tcPr>
            <w:tcW w:w="376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rPr>
              <w:t>Amount</w:t>
            </w:r>
          </w:p>
        </w:tc>
        <w:tc>
          <w:tcPr>
            <w:tcW w:w="186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Maximum</w:t>
            </w:r>
          </w:p>
        </w:tc>
        <w:tc>
          <w:tcPr>
            <w:tcW w:w="186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Maximum</w:t>
            </w:r>
          </w:p>
        </w:tc>
        <w:tc>
          <w:tcPr>
            <w:tcW w:w="1860" w:type="dxa"/>
            <w:vAlign w:val="bottom"/>
          </w:tcPr>
          <w:p>
            <w:pPr>
              <w:spacing w:after="0"/>
              <w:rPr>
                <w:sz w:val="14"/>
                <w:szCs w:val="14"/>
                <w:color w:val="auto"/>
              </w:rPr>
            </w:pPr>
          </w:p>
        </w:tc>
      </w:tr>
      <w:tr>
        <w:trPr>
          <w:trHeight w:val="159"/>
        </w:trPr>
        <w:tc>
          <w:tcPr>
            <w:tcW w:w="37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Title of each Class of</w:t>
            </w:r>
          </w:p>
        </w:tc>
        <w:tc>
          <w:tcPr>
            <w:tcW w:w="1680" w:type="dxa"/>
            <w:vAlign w:val="bottom"/>
            <w:tcBorders>
              <w:right w:val="single" w:sz="8" w:color="auto"/>
            </w:tcBorders>
          </w:tcPr>
          <w:p>
            <w:pPr>
              <w:jc w:val="center"/>
              <w:ind w:left="29"/>
              <w:spacing w:after="0" w:line="159" w:lineRule="exact"/>
              <w:rPr>
                <w:sz w:val="20"/>
                <w:szCs w:val="20"/>
                <w:color w:val="auto"/>
              </w:rPr>
            </w:pPr>
            <w:r>
              <w:rPr>
                <w:rFonts w:ascii="Arial" w:cs="Arial" w:eastAsia="Arial" w:hAnsi="Arial"/>
                <w:sz w:val="14"/>
                <w:szCs w:val="14"/>
                <w:b w:val="1"/>
                <w:bCs w:val="1"/>
                <w:color w:val="auto"/>
              </w:rPr>
              <w:t>to be</w:t>
            </w:r>
          </w:p>
        </w:tc>
        <w:tc>
          <w:tcPr>
            <w:tcW w:w="1860" w:type="dxa"/>
            <w:vAlign w:val="bottom"/>
            <w:tcBorders>
              <w:right w:val="single" w:sz="8" w:color="auto"/>
            </w:tcBorders>
          </w:tcPr>
          <w:p>
            <w:pPr>
              <w:jc w:val="center"/>
              <w:ind w:left="9"/>
              <w:spacing w:after="0" w:line="159" w:lineRule="exact"/>
              <w:rPr>
                <w:sz w:val="20"/>
                <w:szCs w:val="20"/>
                <w:color w:val="auto"/>
              </w:rPr>
            </w:pPr>
            <w:r>
              <w:rPr>
                <w:rFonts w:ascii="Arial" w:cs="Arial" w:eastAsia="Arial" w:hAnsi="Arial"/>
                <w:sz w:val="14"/>
                <w:szCs w:val="14"/>
                <w:b w:val="1"/>
                <w:bCs w:val="1"/>
                <w:color w:val="auto"/>
              </w:rPr>
              <w:t>Offering Price</w:t>
            </w:r>
          </w:p>
        </w:tc>
        <w:tc>
          <w:tcPr>
            <w:tcW w:w="1860" w:type="dxa"/>
            <w:vAlign w:val="bottom"/>
            <w:tcBorders>
              <w:right w:val="single" w:sz="8" w:color="auto"/>
            </w:tcBorders>
          </w:tcPr>
          <w:p>
            <w:pPr>
              <w:jc w:val="center"/>
              <w:ind w:left="9"/>
              <w:spacing w:after="0" w:line="159" w:lineRule="exact"/>
              <w:rPr>
                <w:sz w:val="20"/>
                <w:szCs w:val="20"/>
                <w:color w:val="auto"/>
              </w:rPr>
            </w:pPr>
            <w:r>
              <w:rPr>
                <w:rFonts w:ascii="Arial" w:cs="Arial" w:eastAsia="Arial" w:hAnsi="Arial"/>
                <w:sz w:val="14"/>
                <w:szCs w:val="14"/>
                <w:b w:val="1"/>
                <w:bCs w:val="1"/>
                <w:color w:val="auto"/>
              </w:rPr>
              <w:t>Aggregate</w:t>
            </w:r>
          </w:p>
        </w:tc>
        <w:tc>
          <w:tcPr>
            <w:tcW w:w="1860" w:type="dxa"/>
            <w:vAlign w:val="bottom"/>
          </w:tcPr>
          <w:p>
            <w:pPr>
              <w:jc w:val="center"/>
              <w:ind w:left="30"/>
              <w:spacing w:after="0" w:line="159" w:lineRule="exact"/>
              <w:rPr>
                <w:sz w:val="20"/>
                <w:szCs w:val="20"/>
                <w:color w:val="auto"/>
              </w:rPr>
            </w:pPr>
            <w:r>
              <w:rPr>
                <w:rFonts w:ascii="Arial" w:cs="Arial" w:eastAsia="Arial" w:hAnsi="Arial"/>
                <w:sz w:val="14"/>
                <w:szCs w:val="14"/>
                <w:b w:val="1"/>
                <w:bCs w:val="1"/>
                <w:color w:val="auto"/>
              </w:rPr>
              <w:t>Amount of</w:t>
            </w:r>
          </w:p>
        </w:tc>
      </w:tr>
      <w:tr>
        <w:trPr>
          <w:trHeight w:val="194"/>
        </w:trPr>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680" w:type="dxa"/>
            <w:vAlign w:val="bottom"/>
            <w:tcBorders>
              <w:bottom w:val="single" w:sz="8" w:color="auto"/>
              <w:right w:val="single" w:sz="8" w:color="auto"/>
            </w:tcBorders>
          </w:tcPr>
          <w:p>
            <w:pPr>
              <w:jc w:val="center"/>
              <w:ind w:left="29"/>
              <w:spacing w:after="0" w:line="194" w:lineRule="exact"/>
              <w:rPr>
                <w:sz w:val="20"/>
                <w:szCs w:val="20"/>
                <w:color w:val="auto"/>
              </w:rPr>
            </w:pPr>
            <w:r>
              <w:rPr>
                <w:rFonts w:ascii="Arial" w:cs="Arial" w:eastAsia="Arial" w:hAnsi="Arial"/>
                <w:sz w:val="13"/>
                <w:szCs w:val="13"/>
                <w:b w:val="1"/>
                <w:bCs w:val="1"/>
                <w:color w:val="auto"/>
              </w:rPr>
              <w:t>Registered</w:t>
            </w:r>
            <w:r>
              <w:rPr>
                <w:rFonts w:ascii="Arial" w:cs="Arial" w:eastAsia="Arial" w:hAnsi="Arial"/>
                <w:sz w:val="22"/>
                <w:szCs w:val="22"/>
                <w:b w:val="1"/>
                <w:bCs w:val="1"/>
                <w:color w:val="auto"/>
                <w:vertAlign w:val="superscript"/>
              </w:rPr>
              <w:t>(1)</w:t>
            </w:r>
          </w:p>
        </w:tc>
        <w:tc>
          <w:tcPr>
            <w:tcW w:w="1860" w:type="dxa"/>
            <w:vAlign w:val="bottom"/>
            <w:tcBorders>
              <w:bottom w:val="single" w:sz="8" w:color="auto"/>
              <w:right w:val="single" w:sz="8" w:color="auto"/>
            </w:tcBorders>
          </w:tcPr>
          <w:p>
            <w:pPr>
              <w:jc w:val="center"/>
              <w:ind w:left="9"/>
              <w:spacing w:after="0" w:line="194" w:lineRule="exact"/>
              <w:rPr>
                <w:sz w:val="20"/>
                <w:szCs w:val="20"/>
                <w:color w:val="auto"/>
              </w:rPr>
            </w:pPr>
            <w:r>
              <w:rPr>
                <w:rFonts w:ascii="Arial" w:cs="Arial" w:eastAsia="Arial" w:hAnsi="Arial"/>
                <w:sz w:val="13"/>
                <w:szCs w:val="13"/>
                <w:b w:val="1"/>
                <w:bCs w:val="1"/>
                <w:color w:val="auto"/>
              </w:rPr>
              <w:t>per Share</w:t>
            </w:r>
            <w:r>
              <w:rPr>
                <w:rFonts w:ascii="Arial" w:cs="Arial" w:eastAsia="Arial" w:hAnsi="Arial"/>
                <w:sz w:val="22"/>
                <w:szCs w:val="22"/>
                <w:b w:val="1"/>
                <w:bCs w:val="1"/>
                <w:color w:val="auto"/>
                <w:vertAlign w:val="superscript"/>
              </w:rPr>
              <w:t>(2)</w:t>
            </w:r>
          </w:p>
        </w:tc>
        <w:tc>
          <w:tcPr>
            <w:tcW w:w="1860" w:type="dxa"/>
            <w:vAlign w:val="bottom"/>
            <w:tcBorders>
              <w:bottom w:val="single" w:sz="8" w:color="auto"/>
              <w:right w:val="single" w:sz="8" w:color="auto"/>
            </w:tcBorders>
          </w:tcPr>
          <w:p>
            <w:pPr>
              <w:jc w:val="center"/>
              <w:ind w:left="9"/>
              <w:spacing w:after="0" w:line="194"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2"/>
                <w:szCs w:val="22"/>
                <w:b w:val="1"/>
                <w:bCs w:val="1"/>
                <w:color w:val="auto"/>
                <w:vertAlign w:val="superscript"/>
              </w:rPr>
              <w:t>(2)</w:t>
            </w:r>
          </w:p>
        </w:tc>
        <w:tc>
          <w:tcPr>
            <w:tcW w:w="1860" w:type="dxa"/>
            <w:vAlign w:val="bottom"/>
            <w:tcBorders>
              <w:bottom w:val="single" w:sz="8" w:color="auto"/>
            </w:tcBorders>
          </w:tcPr>
          <w:p>
            <w:pPr>
              <w:jc w:val="center"/>
              <w:ind w:left="30"/>
              <w:spacing w:after="0" w:line="194" w:lineRule="exact"/>
              <w:rPr>
                <w:sz w:val="20"/>
                <w:szCs w:val="20"/>
                <w:color w:val="auto"/>
              </w:rPr>
            </w:pPr>
            <w:r>
              <w:rPr>
                <w:rFonts w:ascii="Arial" w:cs="Arial" w:eastAsia="Arial" w:hAnsi="Arial"/>
                <w:sz w:val="13"/>
                <w:szCs w:val="13"/>
                <w:b w:val="1"/>
                <w:bCs w:val="1"/>
                <w:color w:val="auto"/>
              </w:rPr>
              <w:t>Registration Fee</w:t>
            </w:r>
            <w:r>
              <w:rPr>
                <w:rFonts w:ascii="Arial" w:cs="Arial" w:eastAsia="Arial" w:hAnsi="Arial"/>
                <w:sz w:val="22"/>
                <w:szCs w:val="22"/>
                <w:b w:val="1"/>
                <w:bCs w:val="1"/>
                <w:color w:val="auto"/>
                <w:vertAlign w:val="superscript"/>
              </w:rPr>
              <w:t>(3)</w:t>
            </w:r>
          </w:p>
        </w:tc>
      </w:tr>
      <w:tr>
        <w:trPr>
          <w:trHeight w:val="169"/>
        </w:trPr>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Common Stock $0.00001 par value per share</w:t>
            </w:r>
          </w:p>
        </w:tc>
        <w:tc>
          <w:tcPr>
            <w:tcW w:w="16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color w:val="auto"/>
              </w:rPr>
              <w:t>13,529,750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$18.00</w:t>
            </w:r>
          </w:p>
        </w:tc>
        <w:tc>
          <w:tcPr>
            <w:tcW w:w="186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color w:val="auto"/>
              </w:rPr>
              <w:t>$243,535,500</w:t>
            </w:r>
          </w:p>
        </w:tc>
        <w:tc>
          <w:tcPr>
            <w:tcW w:w="186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color w:val="auto"/>
                <w:w w:val="98"/>
              </w:rPr>
              <w:t>$31,611</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ind w:left="660" w:hanging="544"/>
        <w:spacing w:after="0" w:line="188" w:lineRule="auto"/>
        <w:tabs>
          <w:tab w:leader="none" w:pos="66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Includes the additional shares that the underwriters have the option to purchase from the Registrant.</w:t>
      </w:r>
    </w:p>
    <w:p>
      <w:pPr>
        <w:ind w:left="660" w:hanging="544"/>
        <w:spacing w:after="0" w:line="187" w:lineRule="auto"/>
        <w:tabs>
          <w:tab w:leader="none" w:pos="660" w:val="left"/>
        </w:tabs>
        <w:numPr>
          <w:ilvl w:val="0"/>
          <w:numId w:val="1"/>
        </w:numPr>
        <w:rPr>
          <w:rFonts w:ascii="Arial" w:cs="Arial" w:eastAsia="Arial" w:hAnsi="Arial"/>
          <w:sz w:val="18"/>
          <w:szCs w:val="18"/>
          <w:color w:val="auto"/>
          <w:vertAlign w:val="superscript"/>
        </w:rPr>
      </w:pPr>
      <w:r>
        <w:rPr>
          <w:rFonts w:ascii="Arial" w:cs="Arial" w:eastAsia="Arial" w:hAnsi="Arial"/>
          <w:sz w:val="11"/>
          <w:szCs w:val="11"/>
          <w:color w:val="auto"/>
        </w:rPr>
        <w:t>Estimated solely for the purpose of computing the amount of the registration fee pursuant to Rule 457(a) under the Securities Act of 1933, as amended.</w:t>
      </w:r>
    </w:p>
    <w:p>
      <w:pPr>
        <w:ind w:left="660" w:hanging="544"/>
        <w:spacing w:after="0" w:line="183" w:lineRule="auto"/>
        <w:tabs>
          <w:tab w:leader="none" w:pos="66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The Registrant previously paid $19,749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57150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9" w:lineRule="exact"/>
        <w:rPr>
          <w:sz w:val="24"/>
          <w:szCs w:val="24"/>
          <w:color w:val="auto"/>
        </w:rPr>
      </w:pPr>
    </w:p>
    <w:p>
      <w:pPr>
        <w:ind w:left="120" w:right="140" w:firstLine="551"/>
        <w:spacing w:after="0" w:line="26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13"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CC062A"/>
        </w:rPr>
        <w:t>SUBJECT TO COMPLETION, DATED SEPTEMBER 24, 2020</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11,765,000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179705</wp:posOffset>
            </wp:positionV>
            <wp:extent cx="3394710"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9471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257175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This is an initial public offering of shares of common stock of PMV Pharmaceuticals, Inc. All of the 11,765,000 shares of common stock are being sold by the company.</w:t>
      </w:r>
    </w:p>
    <w:p>
      <w:pPr>
        <w:spacing w:after="0" w:line="145"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We estimate that the initial public offering price of our common stock will be between $16.00 and $18.00 per share. We have been approved to list our common stock on the Nasdaq Global Select Market under the symbol “PMVP.”</w:t>
      </w:r>
    </w:p>
    <w:p>
      <w:pPr>
        <w:spacing w:after="0" w:line="164"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192405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right="40" w:firstLine="551"/>
        <w:spacing w:after="0" w:line="274"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Before buying any shares, you should read carefully the discussion of the material risks of investing in our common stock under the heading “</w:t>
      </w:r>
      <w:hyperlink w:anchor="page16">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starting on page 12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193040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120" w:right="220" w:firstLine="551"/>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204470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6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6"/>
              </w:rPr>
              <w:t>Per Share</w:t>
            </w:r>
          </w:p>
        </w:tc>
        <w:tc>
          <w:tcPr>
            <w:tcW w:w="460" w:type="dxa"/>
            <w:vAlign w:val="bottom"/>
          </w:tcPr>
          <w:p>
            <w:pPr>
              <w:spacing w:after="0"/>
              <w:rPr>
                <w:sz w:val="19"/>
                <w:szCs w:val="19"/>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356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56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ind w:left="540" w:hanging="424"/>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beginning on page 200 for additional information regarding compensation payable to the underwriters.</w:t>
      </w:r>
    </w:p>
    <w:p>
      <w:pPr>
        <w:spacing w:after="0" w:line="17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We have granted the underwriters an option for a period of 30 days to purchase up to an additional 1,764,750 shares of common stock from us at the initial public offering price, less the underwriting discounts and commissions.</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7820" w:type="dxa"/>
            <w:vAlign w:val="bottom"/>
            <w:gridSpan w:val="5"/>
          </w:tcPr>
          <w:p>
            <w:pPr>
              <w:jc w:val="right"/>
              <w:ind w:right="180"/>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1400" w:type="dxa"/>
            <w:vAlign w:val="bottom"/>
          </w:tcPr>
          <w:p>
            <w:pPr>
              <w:jc w:val="right"/>
              <w:ind w:right="337"/>
              <w:spacing w:after="0"/>
              <w:rPr>
                <w:sz w:val="20"/>
                <w:szCs w:val="20"/>
                <w:color w:val="auto"/>
              </w:rPr>
            </w:pPr>
            <w:r>
              <w:rPr>
                <w:rFonts w:ascii="Arial" w:cs="Arial" w:eastAsia="Arial" w:hAnsi="Arial"/>
                <w:sz w:val="18"/>
                <w:szCs w:val="18"/>
                <w:color w:val="auto"/>
              </w:rPr>
              <w:t>, 2020.</w:t>
            </w:r>
          </w:p>
        </w:tc>
        <w:tc>
          <w:tcPr>
            <w:tcW w:w="1800" w:type="dxa"/>
            <w:vAlign w:val="bottom"/>
          </w:tcPr>
          <w:p>
            <w:pPr>
              <w:spacing w:after="0"/>
              <w:rPr>
                <w:sz w:val="21"/>
                <w:szCs w:val="21"/>
                <w:color w:val="auto"/>
              </w:rPr>
            </w:pPr>
          </w:p>
        </w:tc>
      </w:tr>
      <w:tr>
        <w:trPr>
          <w:trHeight w:val="528"/>
        </w:trPr>
        <w:tc>
          <w:tcPr>
            <w:tcW w:w="3480" w:type="dxa"/>
            <w:vAlign w:val="bottom"/>
          </w:tcPr>
          <w:p>
            <w:pPr>
              <w:spacing w:after="0"/>
              <w:rPr>
                <w:sz w:val="20"/>
                <w:szCs w:val="20"/>
                <w:color w:val="auto"/>
              </w:rPr>
            </w:pPr>
            <w:r>
              <w:rPr>
                <w:rFonts w:ascii="Arial" w:cs="Arial" w:eastAsia="Arial" w:hAnsi="Arial"/>
                <w:sz w:val="23"/>
                <w:szCs w:val="23"/>
                <w:b w:val="1"/>
                <w:bCs w:val="1"/>
                <w:color w:val="auto"/>
              </w:rPr>
              <w:t>Goldman Sachs &amp; Co. LLC</w:t>
            </w:r>
          </w:p>
        </w:tc>
        <w:tc>
          <w:tcPr>
            <w:tcW w:w="860" w:type="dxa"/>
            <w:vAlign w:val="bottom"/>
          </w:tcPr>
          <w:p>
            <w:pPr>
              <w:spacing w:after="0"/>
              <w:rPr>
                <w:sz w:val="24"/>
                <w:szCs w:val="24"/>
                <w:color w:val="auto"/>
              </w:rPr>
            </w:pPr>
          </w:p>
        </w:tc>
        <w:tc>
          <w:tcPr>
            <w:tcW w:w="3480" w:type="dxa"/>
            <w:vAlign w:val="bottom"/>
            <w:gridSpan w:val="3"/>
          </w:tcPr>
          <w:p>
            <w:pPr>
              <w:jc w:val="right"/>
              <w:ind w:right="1080"/>
              <w:spacing w:after="0"/>
              <w:rPr>
                <w:sz w:val="20"/>
                <w:szCs w:val="20"/>
                <w:color w:val="auto"/>
              </w:rPr>
            </w:pPr>
            <w:r>
              <w:rPr>
                <w:rFonts w:ascii="Arial" w:cs="Arial" w:eastAsia="Arial" w:hAnsi="Arial"/>
                <w:sz w:val="23"/>
                <w:szCs w:val="23"/>
                <w:b w:val="1"/>
                <w:bCs w:val="1"/>
                <w:color w:val="auto"/>
              </w:rPr>
              <w:t>BofA Securities</w:t>
            </w:r>
          </w:p>
        </w:tc>
        <w:tc>
          <w:tcPr>
            <w:tcW w:w="1400" w:type="dxa"/>
            <w:vAlign w:val="bottom"/>
          </w:tcPr>
          <w:p>
            <w:pPr>
              <w:jc w:val="right"/>
              <w:ind w:right="337"/>
              <w:spacing w:after="0"/>
              <w:rPr>
                <w:sz w:val="20"/>
                <w:szCs w:val="20"/>
                <w:color w:val="auto"/>
              </w:rPr>
            </w:pPr>
            <w:r>
              <w:rPr>
                <w:rFonts w:ascii="Arial" w:cs="Arial" w:eastAsia="Arial" w:hAnsi="Arial"/>
                <w:sz w:val="23"/>
                <w:szCs w:val="23"/>
                <w:b w:val="1"/>
                <w:bCs w:val="1"/>
                <w:color w:val="auto"/>
              </w:rPr>
              <w:t>Cowen</w:t>
            </w:r>
          </w:p>
        </w:tc>
        <w:tc>
          <w:tcPr>
            <w:tcW w:w="1800" w:type="dxa"/>
            <w:vAlign w:val="bottom"/>
          </w:tcPr>
          <w:p>
            <w:pPr>
              <w:ind w:left="440"/>
              <w:spacing w:after="0"/>
              <w:rPr>
                <w:sz w:val="20"/>
                <w:szCs w:val="20"/>
                <w:color w:val="auto"/>
              </w:rPr>
            </w:pPr>
            <w:r>
              <w:rPr>
                <w:rFonts w:ascii="Arial" w:cs="Arial" w:eastAsia="Arial" w:hAnsi="Arial"/>
                <w:sz w:val="23"/>
                <w:szCs w:val="23"/>
                <w:b w:val="1"/>
                <w:bCs w:val="1"/>
                <w:color w:val="auto"/>
              </w:rPr>
              <w:t>Evercore ISI</w:t>
            </w:r>
          </w:p>
        </w:tc>
      </w:tr>
      <w:tr>
        <w:trPr>
          <w:trHeight w:val="332"/>
        </w:trPr>
        <w:tc>
          <w:tcPr>
            <w:tcW w:w="3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9"/>
        </w:trPr>
        <w:tc>
          <w:tcPr>
            <w:tcW w:w="3480" w:type="dxa"/>
            <w:vAlign w:val="bottom"/>
          </w:tcPr>
          <w:p>
            <w:pPr>
              <w:spacing w:after="0"/>
              <w:rPr>
                <w:sz w:val="24"/>
                <w:szCs w:val="24"/>
                <w:color w:val="auto"/>
              </w:rPr>
            </w:pPr>
          </w:p>
        </w:tc>
        <w:tc>
          <w:tcPr>
            <w:tcW w:w="2440" w:type="dxa"/>
            <w:vAlign w:val="bottom"/>
            <w:gridSpan w:val="2"/>
          </w:tcPr>
          <w:p>
            <w:pPr>
              <w:ind w:left="520"/>
              <w:spacing w:after="0"/>
              <w:rPr>
                <w:sz w:val="20"/>
                <w:szCs w:val="20"/>
                <w:color w:val="auto"/>
              </w:rPr>
            </w:pPr>
            <w:r>
              <w:rPr>
                <w:rFonts w:ascii="Arial" w:cs="Arial" w:eastAsia="Arial" w:hAnsi="Arial"/>
                <w:sz w:val="18"/>
                <w:szCs w:val="18"/>
                <w:color w:val="auto"/>
              </w:rPr>
              <w:t>Prospectus dated</w:t>
            </w: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 2020.</w:t>
            </w: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342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34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THE OFFERING</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SPECIAL NOTE REGARDING FORWARD-LOOKING STATEMENTS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USE OF PROCEEDS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DIVIDEND POLICY</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CAPITALIZATION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DILUTION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SELECTED FINANCIAL DATA</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BUSINESS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MANAGEMENT</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EXECUTIVE COMPENSATION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CERTAIN RELATIONSHIPS AND RELATED PARTY TRANSACTIONS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PRINCIPAL STOCKHOLDERS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DESCRIPTION OF CAPITAL STOCK</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SHARES ELIGIBLE FOR FUTURE SALE</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MATERIAL U.S. FEDERAL INCOME TAX CONSEQUENCES FOR NON-U.S. HOLDERS OF OUR COMMON STOCK</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UNDERWRITING</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LEGAL MATTERS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EXPERTS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WHERE YOU CAN FIND ADDITIONAL INFORMATION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3420" w:type="dxa"/>
            <w:vAlign w:val="bottom"/>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INDEX TO FINANCIAL STATEMENTS</w:t>
              </w:r>
            </w:hyperlink>
          </w:p>
        </w:tc>
        <w:tc>
          <w:tcPr>
            <w:tcW w:w="9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47"/>
        </w:trPr>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20" w:type="dxa"/>
            <w:vAlign w:val="bottom"/>
          </w:tcPr>
          <w:p>
            <w:pPr>
              <w:ind w:left="540"/>
              <w:spacing w:after="0"/>
              <w:rPr>
                <w:sz w:val="20"/>
                <w:szCs w:val="20"/>
                <w:color w:val="auto"/>
              </w:rPr>
            </w:pPr>
            <w:r>
              <w:rPr>
                <w:rFonts w:ascii="Arial" w:cs="Arial" w:eastAsia="Arial" w:hAnsi="Arial"/>
                <w:sz w:val="18"/>
                <w:szCs w:val="18"/>
                <w:b w:val="1"/>
                <w:bCs w:val="1"/>
                <w:color w:val="auto"/>
              </w:rPr>
              <w:t>Through and including</w:t>
            </w:r>
          </w:p>
        </w:tc>
        <w:tc>
          <w:tcPr>
            <w:tcW w:w="7540" w:type="dxa"/>
            <w:vAlign w:val="bottom"/>
            <w:gridSpan w:val="5"/>
          </w:tcPr>
          <w:p>
            <w:pPr>
              <w:jc w:val="right"/>
              <w:spacing w:after="0"/>
              <w:rPr>
                <w:sz w:val="20"/>
                <w:szCs w:val="20"/>
                <w:color w:val="auto"/>
              </w:rPr>
            </w:pPr>
            <w:r>
              <w:rPr>
                <w:rFonts w:ascii="Arial" w:cs="Arial" w:eastAsia="Arial" w:hAnsi="Arial"/>
                <w:sz w:val="18"/>
                <w:szCs w:val="18"/>
                <w:b w:val="1"/>
                <w:bCs w:val="1"/>
                <w:color w:val="auto"/>
              </w:rPr>
              <w:t>, 2020 (the 25th day after the date of this prospectus), all dealers effecting transactions</w:t>
            </w:r>
          </w:p>
        </w:tc>
        <w:tc>
          <w:tcPr>
            <w:tcW w:w="0" w:type="dxa"/>
            <w:vAlign w:val="bottom"/>
          </w:tcPr>
          <w:p>
            <w:pPr>
              <w:spacing w:after="0"/>
              <w:rPr>
                <w:sz w:val="1"/>
                <w:szCs w:val="1"/>
                <w:color w:val="auto"/>
              </w:rPr>
            </w:pPr>
          </w:p>
        </w:tc>
      </w:tr>
    </w:tbl>
    <w:p>
      <w:pPr>
        <w:ind w:left="120" w:right="140"/>
        <w:spacing w:after="0" w:line="247" w:lineRule="auto"/>
        <w:rPr>
          <w:sz w:val="20"/>
          <w:szCs w:val="20"/>
          <w:color w:val="auto"/>
        </w:rPr>
      </w:pPr>
      <w:r>
        <w:rPr>
          <w:rFonts w:ascii="Arial" w:cs="Arial" w:eastAsia="Arial" w:hAnsi="Arial"/>
          <w:sz w:val="18"/>
          <w:szCs w:val="18"/>
          <w:b w:val="1"/>
          <w:bCs w:val="1"/>
          <w:color w:val="auto"/>
        </w:rPr>
        <w:t>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any amendment or supplement to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4"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We use the name “PMV Pharma,” the “PMV Pharma” logo and other marks as unregistered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AND INDUSTRY DATA</w:t>
      </w:r>
    </w:p>
    <w:p>
      <w:pPr>
        <w:spacing w:after="0" w:line="214" w:lineRule="exact"/>
        <w:rPr>
          <w:sz w:val="20"/>
          <w:szCs w:val="20"/>
          <w:color w:val="auto"/>
        </w:rPr>
      </w:pPr>
    </w:p>
    <w:p>
      <w:pPr>
        <w:jc w:val="both"/>
        <w:ind w:left="120" w:right="280" w:firstLine="551"/>
        <w:spacing w:after="0" w:line="268"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potential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w:t>
      </w:r>
    </w:p>
    <w:p>
      <w:pPr>
        <w:spacing w:after="0" w:line="15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While we believe that the data we use from third parties is reliable, we have not separately verified these data. This information, to the extent it contains estimates or projections, involves a number of assumptions and limitations, and you are cautioned not to give undue weight to such estimates or projections. The industry in which we operate is subject to risks and uncertainties due to a variety of factors, including those described in the section titled “Risk Factors.” These and other factors could cause results to differ materially from those expressed in these publications and reports.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99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9903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firstLine="532"/>
        <w:spacing w:after="0" w:line="241" w:lineRule="auto"/>
        <w:rPr>
          <w:sz w:val="20"/>
          <w:szCs w:val="20"/>
          <w:color w:val="auto"/>
        </w:rPr>
      </w:pPr>
      <w:r>
        <w:rPr>
          <w:rFonts w:ascii="Arial" w:cs="Arial" w:eastAsia="Arial" w:hAnsi="Arial"/>
          <w:sz w:val="18"/>
          <w:szCs w:val="18"/>
          <w:i w:val="1"/>
          <w:iCs w:val="1"/>
          <w:color w:val="auto"/>
        </w:rPr>
        <w:t>This summary highlights information contained in other parts of this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You should read the entire prospectus carefully, especially “Risk Factors,” “Management’s Discussion and Analysis of Financial Condition and Results of Operations,” and our financial statements and the related notes, before deciding to buy shares of our common stock. Unless the context requires otherwise, references in this prospectus to “PMV Pharmaceuticals,” “the Company,” “we,” “us” and “our” refer to PMV Pharmaceuticals, Inc.</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300" w:right="20" w:firstLine="532"/>
        <w:spacing w:after="0" w:line="243" w:lineRule="auto"/>
        <w:rPr>
          <w:sz w:val="20"/>
          <w:szCs w:val="20"/>
          <w:color w:val="auto"/>
        </w:rPr>
      </w:pPr>
      <w:r>
        <w:rPr>
          <w:rFonts w:ascii="Arial" w:cs="Arial" w:eastAsia="Arial" w:hAnsi="Arial"/>
          <w:sz w:val="18"/>
          <w:szCs w:val="18"/>
          <w:color w:val="auto"/>
        </w:rPr>
        <w:t>We believe that we have designed our lead product candidate, PC14586, to potently and selectively correct p53 misfolding caused by a specific p53 mutation, Y220C, while sparing wild-type p53. The Y220C mutation is associated with 1.0-1.5% of all cancers, including breast, non-small cell lung cancer, or NSCLC, colorectal, pancreatic and ovarian cancers. While we are in the early stages of discovery and development of our product candidates and our novel approach is unproven, we are initially pursuing a tumor-agnostic development strategy and received authorization to proceed under an investigational new drug application, or IND, for PC14586 on September 4, 2020 and plan to start a Phase 1/2 clinical trial in the second half of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In addition, we are leveraging our precision oncology platform to develop a pipeline of oral small molecule product candidates that structurally correct other p53 hotspot mutations to restore their wild-type function. We expect to advance our next program, targeting the p53 R273H hotspot mutation, into lead optimization in the first half of 2021. We own worldwide commercial rights to all of our programs. An overview of our development pipeline is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20" w:hanging="522"/>
        <w:spacing w:after="0"/>
        <w:tabs>
          <w:tab w:leader="none" w:pos="82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820" w:right="80" w:hanging="522"/>
        <w:spacing w:after="0" w:line="182" w:lineRule="auto"/>
        <w:tabs>
          <w:tab w:leader="none" w:pos="8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820" w:hanging="522"/>
        <w:spacing w:after="0" w:line="183" w:lineRule="auto"/>
        <w:tabs>
          <w:tab w:leader="none" w:pos="82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175"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Our strategy is to seek approval under an accelerated pathway, and we believe our Phase 1/2 clinical trial has the potential to serve as a pivotal study. We have not discussed the potential pivotal study designation with the U.S. Food and Drug Administration, or FDA, and we cannot guarantee that the FDA will grant accelerated approval, but if obtained, we anticipate that the FDA will require the conduct of a post-approval commitment to confirm clinical benefit.</w:t>
      </w: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Potential of Precision Medicine in p53</w:t>
      </w:r>
    </w:p>
    <w:p>
      <w:pPr>
        <w:spacing w:after="0" w:line="214" w:lineRule="exact"/>
        <w:rPr>
          <w:sz w:val="20"/>
          <w:szCs w:val="20"/>
          <w:color w:val="auto"/>
        </w:rPr>
      </w:pPr>
    </w:p>
    <w:p>
      <w:pPr>
        <w:ind w:left="300" w:right="120" w:firstLine="532"/>
        <w:spacing w:after="0" w:line="248" w:lineRule="auto"/>
        <w:rPr>
          <w:sz w:val="20"/>
          <w:szCs w:val="20"/>
          <w:color w:val="auto"/>
        </w:rPr>
      </w:pPr>
      <w:r>
        <w:rPr>
          <w:rFonts w:ascii="Arial" w:cs="Arial" w:eastAsia="Arial" w:hAnsi="Arial"/>
          <w:sz w:val="18"/>
          <w:szCs w:val="18"/>
          <w:color w:val="auto"/>
        </w:rPr>
        <w:t>Cancer is a genetic disease that results from changes in a person’s DNA that causes cells to grow and divide uncontrollably. Recent advances in genetic sequencing and a better understanding of mutations that drive cancers have facilitated the development of precise, gene- and protein-specific drugs known as targeted therapies. There are multiple tumor-agnostic product approvals that are based on a genetic mutation that defines the cancer, as opposed to the tumor type.</w:t>
      </w:r>
    </w:p>
    <w:p>
      <w:pPr>
        <w:spacing w:after="0" w:line="170" w:lineRule="exact"/>
        <w:rPr>
          <w:sz w:val="20"/>
          <w:szCs w:val="20"/>
          <w:color w:val="auto"/>
        </w:rPr>
      </w:pPr>
    </w:p>
    <w:p>
      <w:pPr>
        <w:ind w:left="300" w:right="20" w:firstLine="532"/>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p53 activation facilitates the repair of the cell’s damaged DNA or triggers the killing of the damaged cell through a process known as programmed cell death, or apoptosis, before the cell can become cancerous and proliferate. The p53 gene is the most widely mutated gene in human cancers and to date, more than 25,000 unique p53 mutations have been discovered.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w:t>
      </w:r>
    </w:p>
    <w:p>
      <w:pPr>
        <w:spacing w:after="0" w:line="174" w:lineRule="exact"/>
        <w:rPr>
          <w:sz w:val="20"/>
          <w:szCs w:val="20"/>
          <w:color w:val="auto"/>
        </w:rPr>
      </w:pPr>
    </w:p>
    <w:p>
      <w:pPr>
        <w:ind w:left="300" w:right="280" w:firstLine="532"/>
        <w:spacing w:after="0" w:line="248" w:lineRule="auto"/>
        <w:rPr>
          <w:sz w:val="20"/>
          <w:szCs w:val="20"/>
          <w:color w:val="auto"/>
        </w:rPr>
      </w:pPr>
      <w:r>
        <w:rPr>
          <w:rFonts w:ascii="Arial" w:cs="Arial" w:eastAsia="Arial" w:hAnsi="Arial"/>
          <w:sz w:val="18"/>
          <w:szCs w:val="18"/>
          <w:color w:val="auto"/>
        </w:rPr>
        <w:t>Therefore, we believe that the best way to address p53-driven cancers is by targeting individual p53 mutations using a precision oncology approach. Diagnostic tests are currently used by physicians in their practice to identify cancer patients with p53 mutations. We believe that identifying the p53 gene mutation and structurally correcting the specific mutant p53 protein to restore wild-type p53 activity can potentially serve as the basis of treatment for patients with these mutations.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64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Approach</w:t>
      </w:r>
    </w:p>
    <w:p>
      <w:pPr>
        <w:spacing w:after="0" w:line="214" w:lineRule="exact"/>
        <w:rPr>
          <w:sz w:val="20"/>
          <w:szCs w:val="20"/>
          <w:color w:val="auto"/>
        </w:rPr>
      </w:pPr>
    </w:p>
    <w:p>
      <w:pPr>
        <w:ind w:left="300" w:right="140" w:firstLine="532"/>
        <w:spacing w:after="0" w:line="245" w:lineRule="auto"/>
        <w:rPr>
          <w:sz w:val="20"/>
          <w:szCs w:val="20"/>
          <w:color w:val="auto"/>
        </w:rPr>
      </w:pPr>
      <w:r>
        <w:rPr>
          <w:rFonts w:ascii="Arial" w:cs="Arial" w:eastAsia="Arial" w:hAnsi="Arial"/>
          <w:sz w:val="18"/>
          <w:szCs w:val="18"/>
          <w:color w:val="auto"/>
        </w:rPr>
        <w:t>We believe our novel approach to reactivate the p53 function through structural correction of the mutant p53 protein to wild-type represents a therapeutic strategy to target p53. Decades of research on p53 have unveiled its potential as a precision oncology target. Mutations in the p53 gene can give rise to mutant p53 proteins with different conformational structures. As a result, we are developing oral small molecule therapies that selectively target a specific mutant p53 protein while sparing wild-type p53. Our innovation engine is composed of three complementary drivers:</w:t>
      </w:r>
    </w:p>
    <w:p>
      <w:pPr>
        <w:spacing w:after="0" w:line="76" w:lineRule="exact"/>
        <w:rPr>
          <w:sz w:val="20"/>
          <w:szCs w:val="20"/>
          <w:color w:val="auto"/>
        </w:rPr>
      </w:pPr>
    </w:p>
    <w:p>
      <w:pPr>
        <w:ind w:left="10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w:t>
      </w:r>
      <w:r>
        <w:rPr>
          <w:rFonts w:ascii="Arial" w:cs="Arial" w:eastAsia="Arial" w:hAnsi="Arial"/>
          <w:sz w:val="18"/>
          <w:szCs w:val="18"/>
          <w:b w:val="1"/>
          <w:bCs w:val="1"/>
          <w:color w:val="auto"/>
        </w:rPr>
        <w:t xml:space="preserve"> </w:t>
      </w:r>
      <w:r>
        <w:rPr>
          <w:rFonts w:ascii="Arial" w:cs="Arial" w:eastAsia="Arial" w:hAnsi="Arial"/>
          <w:sz w:val="18"/>
          <w:szCs w:val="18"/>
          <w:color w:val="auto"/>
        </w:rPr>
        <w:t>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scientific advisory board, or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1020" w:right="4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the mutated p53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1020" w:right="1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cancer cells based on research and understanding of bioinformatics and functional genomics. We also identify and monitor pharmacodynamic biomarkers and surrogates of clinical activity to help measure target engagement, including Macrophage Inhibitory Cytokine-1, or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therapeutic programs for translation to the clinic.</w:t>
      </w: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PC14586 Program</w:t>
      </w:r>
    </w:p>
    <w:p>
      <w:pPr>
        <w:spacing w:after="0" w:line="214"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a mutant p53 protein with the Y220C mutation and restores wild-type p53 function. The Y220C mutation is associated with 1.0-1.5% of all cancers, including breast, NSCLC, colorectal, pancreatic and ovarian cancers. There are currently no drugs approved by the FDA and we are not aware of any other products in clinical development that selectively target the p53 Y220C mutation.</w:t>
      </w:r>
    </w:p>
    <w:p>
      <w:pPr>
        <w:spacing w:after="0" w:line="170" w:lineRule="exact"/>
        <w:rPr>
          <w:sz w:val="20"/>
          <w:szCs w:val="20"/>
          <w:color w:val="auto"/>
        </w:rPr>
      </w:pPr>
    </w:p>
    <w:p>
      <w:pPr>
        <w:ind w:left="300" w:right="380" w:firstLine="532"/>
        <w:spacing w:after="0" w:line="248" w:lineRule="auto"/>
        <w:rPr>
          <w:sz w:val="20"/>
          <w:szCs w:val="20"/>
          <w:color w:val="auto"/>
        </w:rPr>
      </w:pPr>
      <w:r>
        <w:rPr>
          <w:rFonts w:ascii="Arial" w:cs="Arial" w:eastAsia="Arial" w:hAnsi="Arial"/>
          <w:sz w:val="18"/>
          <w:szCs w:val="18"/>
          <w:color w:val="auto"/>
        </w:rPr>
        <w:t>PC14586 is designed to selectively bind to the crevice created by the p53 Y220C mutation and restore the wild-type p53 protein structure and tumor suppressing function. In preclinical studies, we have demonstrated that PC14586 rapidly converts the large protein pool of mutant p53 Y220C protein to wild-type structure. Additionally, structural correction from a mutant p53 Y220C conformation to 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36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spacing w:after="0" w:line="276" w:lineRule="auto"/>
        <w:rPr>
          <w:sz w:val="20"/>
          <w:szCs w:val="20"/>
          <w:color w:val="auto"/>
        </w:rPr>
      </w:pPr>
      <w:r>
        <w:rPr>
          <w:rFonts w:ascii="Arial" w:cs="Arial" w:eastAsia="Arial" w:hAnsi="Arial"/>
          <w:sz w:val="18"/>
          <w:szCs w:val="18"/>
          <w:color w:val="auto"/>
        </w:rPr>
        <w:t>wild-type p53 conformation by PC14586 restored p53-dependent transcription of downstream targets, which is indicative of wild-type p53 biological activity.</w:t>
      </w:r>
    </w:p>
    <w:p>
      <w:pPr>
        <w:spacing w:after="0" w:line="145" w:lineRule="exact"/>
        <w:rPr>
          <w:sz w:val="20"/>
          <w:szCs w:val="20"/>
          <w:color w:val="auto"/>
        </w:rPr>
      </w:pPr>
    </w:p>
    <w:p>
      <w:pPr>
        <w:ind w:left="300" w:right="120" w:firstLine="532"/>
        <w:spacing w:after="0" w:line="243" w:lineRule="auto"/>
        <w:rPr>
          <w:sz w:val="20"/>
          <w:szCs w:val="20"/>
          <w:color w:val="auto"/>
        </w:rPr>
      </w:pPr>
      <w:r>
        <w:rPr>
          <w:rFonts w:ascii="Arial" w:cs="Arial" w:eastAsia="Arial" w:hAnsi="Arial"/>
          <w:sz w:val="18"/>
          <w:szCs w:val="18"/>
          <w:color w:val="auto"/>
        </w:rPr>
        <w:t>PC14586 also exhibited profound single-agent anti-tumor activity in mouse models. We created a human p53 knock-in, or HUPKI, mouse that expresses a p53 protein with the human p53 DNA binding domain and the Y220C mutation. The HUPKI mouse presents spontaneously with sarcomas at six to eight months of age, which we can harvest and re-implant in a wild-type mouse to create a mouse tumor model that has an intact immune system harboring a human Y220C mutation. We believe this syngeneic mouse model better represents the patient population that we expect to see in the clinic, as compared to mouse xenograft models that incorporate human tumors in mice with no immune system.</w:t>
      </w:r>
    </w:p>
    <w:p>
      <w:pPr>
        <w:spacing w:after="0" w:line="174" w:lineRule="exact"/>
        <w:rPr>
          <w:sz w:val="20"/>
          <w:szCs w:val="20"/>
          <w:color w:val="auto"/>
        </w:rPr>
      </w:pPr>
    </w:p>
    <w:p>
      <w:pPr>
        <w:jc w:val="both"/>
        <w:ind w:left="300" w:right="420" w:firstLine="532"/>
        <w:spacing w:after="0" w:line="255" w:lineRule="auto"/>
        <w:rPr>
          <w:sz w:val="20"/>
          <w:szCs w:val="20"/>
          <w:color w:val="auto"/>
        </w:rPr>
      </w:pPr>
      <w:r>
        <w:rPr>
          <w:rFonts w:ascii="Arial" w:cs="Arial" w:eastAsia="Arial" w:hAnsi="Arial"/>
          <w:sz w:val="18"/>
          <w:szCs w:val="18"/>
          <w:color w:val="auto"/>
        </w:rPr>
        <w:t>PC14586 administered as a single-agent demonstrated regression in tumors that express the p53 Y220C mutation in the syngeneic mouse model. PC14586 also exhibited anti-tumor activity in combination with anti-PD-1 therapy in syngeneic mouse models with the human p53 Y220C mutation.</w:t>
      </w:r>
    </w:p>
    <w:p>
      <w:pPr>
        <w:spacing w:after="0" w:line="164" w:lineRule="exact"/>
        <w:rPr>
          <w:sz w:val="20"/>
          <w:szCs w:val="20"/>
          <w:color w:val="auto"/>
        </w:rPr>
      </w:pPr>
    </w:p>
    <w:p>
      <w:pPr>
        <w:ind w:left="300" w:right="500" w:firstLine="532"/>
        <w:spacing w:after="0" w:line="276" w:lineRule="auto"/>
        <w:rPr>
          <w:sz w:val="20"/>
          <w:szCs w:val="20"/>
          <w:color w:val="auto"/>
        </w:rPr>
      </w:pPr>
      <w:r>
        <w:rPr>
          <w:rFonts w:ascii="Arial" w:cs="Arial" w:eastAsia="Arial" w:hAnsi="Arial"/>
          <w:sz w:val="18"/>
          <w:szCs w:val="18"/>
          <w:color w:val="auto"/>
        </w:rPr>
        <w:t>We are initially pursuing a tumor-agnostic development strategy and received authorization to proceed under an IND for PC14586 on September 4, 2020 and plan to start a Phase 1/2 clinical trial in the second half of 2020.</w:t>
      </w: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Second Program R273H</w:t>
      </w:r>
    </w:p>
    <w:p>
      <w:pPr>
        <w:spacing w:after="0" w:line="214"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We expect to advance our next program, targeting the p53 R273H hotspot mutation, into lead optimization in the first half of 2021. R273H is the third most frequent p53 mutation and is found in approximately 4% of all p53 mutations. The R273H mutation causes a decrease in binding between the p53 protein and DNA, resulting in the p53 protein’s inability to activate transcription of p53 target genes. We are generating molecules designed to enhance and restore the binding of the p53 protein and DNA. Our R273H program continues to progress towards lead optimization, as we have identified several potential candidates from our screening campaigns.</w:t>
      </w:r>
    </w:p>
    <w:p>
      <w:pPr>
        <w:spacing w:after="0" w:line="28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ind w:left="300" w:right="220" w:firstLine="532"/>
        <w:spacing w:after="0" w:line="255" w:lineRule="auto"/>
        <w:rPr>
          <w:sz w:val="20"/>
          <w:szCs w:val="20"/>
          <w:color w:val="auto"/>
        </w:rPr>
      </w:pPr>
      <w:r>
        <w:rPr>
          <w:rFonts w:ascii="Arial" w:cs="Arial" w:eastAsia="Arial" w:hAnsi="Arial"/>
          <w:sz w:val="18"/>
          <w:szCs w:val="18"/>
          <w:color w:val="auto"/>
        </w:rPr>
        <w:t>In addition to our PC14586 Y220C and R273H programs, we are focused on developing a pipeline of product candidates targeting other p53 hotspot mutations. These programs have been developed internally using our precision oncology platform and expertise.</w:t>
      </w: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ind w:left="300" w:right="80" w:firstLine="532"/>
        <w:spacing w:after="0" w:line="243" w:lineRule="auto"/>
        <w:rPr>
          <w:sz w:val="20"/>
          <w:szCs w:val="20"/>
          <w:color w:val="auto"/>
        </w:rPr>
      </w:pPr>
      <w:r>
        <w:rPr>
          <w:rFonts w:ascii="Arial" w:cs="Arial" w:eastAsia="Arial" w:hAnsi="Arial"/>
          <w:sz w:val="18"/>
          <w:szCs w:val="18"/>
          <w:color w:val="auto"/>
        </w:rPr>
        <w:t>We were founded in 2013 by David Mack, Ph.D., Arnold Levine, Ph.D. and Thomas Shenk, Ph.D. Over the past seven years,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Our vision has been supported by leading investors, including InterWest Partners, OrbiMed Advisors, Topspin Partners, Euclidean Capital, Nextech Invest, Viking Global Investors, Boxer Capital of Tavistock Group, Osage University Partners, Avoro Capital, RA Capital Management and Wellington Management.</w:t>
      </w:r>
    </w:p>
    <w:p>
      <w:pPr>
        <w:spacing w:after="0" w:line="174" w:lineRule="exact"/>
        <w:rPr>
          <w:sz w:val="20"/>
          <w:szCs w:val="20"/>
          <w:color w:val="auto"/>
        </w:rPr>
      </w:pPr>
    </w:p>
    <w:p>
      <w:pPr>
        <w:ind w:left="300" w:right="360" w:firstLine="532"/>
        <w:spacing w:after="0" w:line="255" w:lineRule="auto"/>
        <w:rPr>
          <w:sz w:val="20"/>
          <w:szCs w:val="20"/>
          <w:color w:val="auto"/>
        </w:rPr>
      </w:pPr>
      <w:r>
        <w:rPr>
          <w:rFonts w:ascii="Arial" w:cs="Arial" w:eastAsia="Arial" w:hAnsi="Arial"/>
          <w:sz w:val="18"/>
          <w:szCs w:val="18"/>
          <w:color w:val="auto"/>
        </w:rPr>
        <w:t>Additionally, we have assembled a management team of biopharmaceutical experts with extensive experience in drug discovery and development, with particular expertise in the discovery of small molecule oncology programs. Dr. David Mack, our President and Chief Executive Officer, was</w:t>
      </w:r>
    </w:p>
    <w:p>
      <w:pPr>
        <w:spacing w:after="0" w:line="200" w:lineRule="exact"/>
        <w:rPr>
          <w:sz w:val="20"/>
          <w:szCs w:val="20"/>
          <w:color w:val="auto"/>
        </w:rPr>
      </w:pPr>
    </w:p>
    <w:p>
      <w:pPr>
        <w:spacing w:after="0" w:line="39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5" w:right="7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0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spacing w:after="0"/>
        <w:rPr>
          <w:sz w:val="20"/>
          <w:szCs w:val="20"/>
          <w:color w:val="auto"/>
        </w:rPr>
      </w:pPr>
      <w:r>
        <w:rPr>
          <w:rFonts w:ascii="Arial" w:cs="Arial" w:eastAsia="Arial" w:hAnsi="Arial"/>
          <w:sz w:val="18"/>
          <w:szCs w:val="18"/>
          <w:color w:val="auto"/>
        </w:rPr>
        <w:t>previously General Partner at Alta Partners and co-founder and Vice President of Genomic Research at Eos Biotechnology, where he led the advancement of multiple product candidates prior to the company’s sale to Protein Design Labs. Mr. Winston Kung, our Chief Operating Officer and Chief Financial Officer, was previously Vice President of Business Development and Global Alliances at Celgene and Chief Business Officer of Celgene Cellular Therapeutics. Dr. Leila Alland, our Chief Medical Officer, is an oncologist with 20 years of experience developing oncology products in the biopharmaceutical industry, most recently as Chief Medical Officer of Affimed. Dr. Deepika Jalota, Pharm.D., our Senior Vice President, Regulatory Affairs and Quality Assurance, was previously Vice President of Oncology Regulatory Affairs at Bayer and led the tumor-agnostic regulatory strategy for larotrectinib (Vitrakvi) in collaboration with Loxo Oncology.</w:t>
      </w:r>
    </w:p>
    <w:p>
      <w:pPr>
        <w:spacing w:after="0" w:line="180" w:lineRule="exact"/>
        <w:rPr>
          <w:sz w:val="20"/>
          <w:szCs w:val="20"/>
          <w:color w:val="auto"/>
        </w:rPr>
      </w:pPr>
    </w:p>
    <w:p>
      <w:pPr>
        <w:ind w:left="300" w:right="20" w:firstLine="532"/>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SAB, many of whom have been associated with multiple oncology product approvals.</w:t>
      </w: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300" w:right="140" w:firstLine="532"/>
        <w:spacing w:after="0" w:line="276"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small molecule therapies targeting mutant p53. The critical components of our strategy include:</w:t>
      </w:r>
    </w:p>
    <w:p>
      <w:pPr>
        <w:spacing w:after="0" w:line="50" w:lineRule="exact"/>
        <w:rPr>
          <w:sz w:val="20"/>
          <w:szCs w:val="20"/>
          <w:color w:val="auto"/>
        </w:rPr>
      </w:pPr>
    </w:p>
    <w:p>
      <w:pPr>
        <w:ind w:left="1020" w:right="20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advancing our lead product candidate, PC14586, as a tumor-agnostic, oral small molecule single-agent therapy for cancer patients;</w:t>
      </w:r>
    </w:p>
    <w:p>
      <w:pPr>
        <w:spacing w:after="0" w:line="50" w:lineRule="exact"/>
        <w:rPr>
          <w:rFonts w:ascii="Arial" w:cs="Arial" w:eastAsia="Arial" w:hAnsi="Arial"/>
          <w:sz w:val="18"/>
          <w:szCs w:val="18"/>
          <w:color w:val="auto"/>
        </w:rPr>
      </w:pPr>
    </w:p>
    <w:p>
      <w:pPr>
        <w:ind w:left="102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harnessing the power of our precision oncology platform to discover and develop additional differentiated product candidates that are designed to precisely target p53 mutations in cancer;</w:t>
      </w:r>
    </w:p>
    <w:p>
      <w:pPr>
        <w:spacing w:after="0" w:line="50" w:lineRule="exact"/>
        <w:rPr>
          <w:rFonts w:ascii="Arial" w:cs="Arial" w:eastAsia="Arial" w:hAnsi="Arial"/>
          <w:sz w:val="18"/>
          <w:szCs w:val="18"/>
          <w:color w:val="auto"/>
        </w:rPr>
      </w:pPr>
    </w:p>
    <w:p>
      <w:pPr>
        <w:ind w:left="1020" w:right="42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the advantages of precision medicine and our expertise in p53 biology to pursue accelerated approval of our product candidates; and</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and exploring combination therapy approaches for our product candidates.</w:t>
      </w: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ind w:left="300" w:right="300" w:firstLine="532"/>
        <w:spacing w:after="0" w:line="255" w:lineRule="auto"/>
        <w:rPr>
          <w:sz w:val="20"/>
          <w:szCs w:val="20"/>
          <w:color w:val="auto"/>
        </w:rPr>
      </w:pPr>
      <w:r>
        <w:rPr>
          <w:rFonts w:ascii="Arial" w:cs="Arial" w:eastAsia="Arial" w:hAnsi="Arial"/>
          <w:sz w:val="18"/>
          <w:szCs w:val="18"/>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69" w:lineRule="exact"/>
        <w:rPr>
          <w:sz w:val="20"/>
          <w:szCs w:val="20"/>
          <w:color w:val="auto"/>
        </w:rPr>
      </w:pPr>
    </w:p>
    <w:p>
      <w:pPr>
        <w:ind w:left="1020" w:right="34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have not initiated or completed any clinical trials, and have no products approved for commercial sale;</w:t>
      </w:r>
    </w:p>
    <w:p>
      <w:pPr>
        <w:spacing w:after="0" w:line="50" w:lineRule="exact"/>
        <w:rPr>
          <w:rFonts w:ascii="Arial" w:cs="Arial" w:eastAsia="Arial" w:hAnsi="Arial"/>
          <w:sz w:val="18"/>
          <w:szCs w:val="18"/>
          <w:color w:val="auto"/>
        </w:rPr>
      </w:pPr>
    </w:p>
    <w:p>
      <w:pPr>
        <w:ind w:left="1020" w:right="42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50" w:lineRule="exact"/>
        <w:rPr>
          <w:rFonts w:ascii="Arial" w:cs="Arial" w:eastAsia="Arial" w:hAnsi="Arial"/>
          <w:sz w:val="18"/>
          <w:szCs w:val="18"/>
          <w:color w:val="auto"/>
        </w:rPr>
      </w:pPr>
    </w:p>
    <w:p>
      <w:pPr>
        <w:jc w:val="both"/>
        <w:ind w:left="1020" w:right="8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generated any revenue from our product candidates and may never generate revenue or be profitable and our ability to generate revenue and achieve profitability depends significantly on our ability to achieve several objectives relating to the discovery, development and commercialization of our product candidates;</w:t>
      </w:r>
    </w:p>
    <w:p>
      <w:pPr>
        <w:spacing w:after="0" w:line="69" w:lineRule="exact"/>
        <w:rPr>
          <w:rFonts w:ascii="Arial" w:cs="Arial" w:eastAsia="Arial" w:hAnsi="Arial"/>
          <w:sz w:val="18"/>
          <w:szCs w:val="18"/>
          <w:color w:val="auto"/>
        </w:rPr>
      </w:pPr>
    </w:p>
    <w:p>
      <w:pPr>
        <w:ind w:left="1020" w:right="16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5" w:right="6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0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w:t>
      </w:r>
    </w:p>
    <w:p>
      <w:pPr>
        <w:spacing w:after="0" w:line="117" w:lineRule="exact"/>
        <w:rPr>
          <w:rFonts w:ascii="Arial" w:cs="Arial" w:eastAsia="Arial" w:hAnsi="Arial"/>
          <w:sz w:val="18"/>
          <w:szCs w:val="18"/>
          <w:color w:val="auto"/>
        </w:rPr>
      </w:pPr>
    </w:p>
    <w:p>
      <w:pPr>
        <w:ind w:left="1020" w:right="40" w:hanging="195"/>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75" w:lineRule="exact"/>
        <w:rPr>
          <w:rFonts w:ascii="Arial" w:cs="Arial" w:eastAsia="Arial" w:hAnsi="Arial"/>
          <w:sz w:val="18"/>
          <w:szCs w:val="18"/>
          <w:color w:val="auto"/>
        </w:rPr>
      </w:pPr>
    </w:p>
    <w:p>
      <w:pPr>
        <w:ind w:left="1020" w:right="6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very early in our development efforts and are substantially dependent on our lead product candidate, PC14586. If we are unable to advance, obtain regulatory approval for and commercialize PC14586, our business, financial condition and results of operations will be materially adversely affected;</w:t>
      </w:r>
    </w:p>
    <w:p>
      <w:pPr>
        <w:spacing w:after="0" w:line="69" w:lineRule="exact"/>
        <w:rPr>
          <w:rFonts w:ascii="Arial" w:cs="Arial" w:eastAsia="Arial" w:hAnsi="Arial"/>
          <w:sz w:val="18"/>
          <w:szCs w:val="18"/>
          <w:color w:val="auto"/>
        </w:rPr>
      </w:pPr>
    </w:p>
    <w:p>
      <w:pPr>
        <w:ind w:left="1020" w:right="220" w:hanging="195"/>
        <w:spacing w:after="0" w:line="24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interim “top-line” and preliminary data that we announce for our initial open-label Phase 1/2 clinical trial for PC14586 may change as more patient data become available and are subject to audit and verification procedures that could result in material changes in the final data. If the interim, top-line or preliminary data that we report differ from actual results, our ability to obtain approval for our product candidates may be adversely affected, which could materially adversely affect our business, financial condition and results of operations;</w:t>
      </w:r>
    </w:p>
    <w:p>
      <w:pPr>
        <w:spacing w:after="0" w:line="77" w:lineRule="exact"/>
        <w:rPr>
          <w:rFonts w:ascii="Arial" w:cs="Arial" w:eastAsia="Arial" w:hAnsi="Arial"/>
          <w:sz w:val="18"/>
          <w:szCs w:val="18"/>
          <w:color w:val="auto"/>
        </w:rPr>
      </w:pPr>
    </w:p>
    <w:p>
      <w:pPr>
        <w:ind w:left="1020" w:right="10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69" w:lineRule="exact"/>
        <w:rPr>
          <w:rFonts w:ascii="Arial" w:cs="Arial" w:eastAsia="Arial" w:hAnsi="Arial"/>
          <w:sz w:val="18"/>
          <w:szCs w:val="18"/>
          <w:color w:val="auto"/>
        </w:rPr>
      </w:pPr>
    </w:p>
    <w:p>
      <w:pPr>
        <w:ind w:left="1020" w:right="4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69" w:lineRule="exact"/>
        <w:rPr>
          <w:rFonts w:ascii="Arial" w:cs="Arial" w:eastAsia="Arial" w:hAnsi="Arial"/>
          <w:sz w:val="18"/>
          <w:szCs w:val="18"/>
          <w:color w:val="auto"/>
        </w:rPr>
      </w:pPr>
    </w:p>
    <w:p>
      <w:pPr>
        <w:ind w:left="1020" w:right="780" w:hanging="195"/>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regulatory approval processes of the FDA and other comparable foreign regulatory authorities are lengthy, time consuming and inherently unpredictable. If we are not able to obtain required regulatory approvals for our product candidates, we will not be able to commercialize our product candidates, and our ability to generate revenue will be materially impaired;</w:t>
      </w:r>
    </w:p>
    <w:p>
      <w:pPr>
        <w:spacing w:after="0" w:line="75" w:lineRule="exact"/>
        <w:rPr>
          <w:rFonts w:ascii="Arial" w:cs="Arial" w:eastAsia="Arial" w:hAnsi="Arial"/>
          <w:sz w:val="18"/>
          <w:szCs w:val="18"/>
          <w:color w:val="auto"/>
        </w:rPr>
      </w:pPr>
    </w:p>
    <w:p>
      <w:pPr>
        <w:ind w:left="1020" w:right="20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rely, and plan to rely in the future, on third parties to conduct and support preclinical and clinical development, and these third parties may not meet expectations;</w:t>
      </w:r>
    </w:p>
    <w:p>
      <w:pPr>
        <w:spacing w:after="0" w:line="50" w:lineRule="exact"/>
        <w:rPr>
          <w:rFonts w:ascii="Arial" w:cs="Arial" w:eastAsia="Arial" w:hAnsi="Arial"/>
          <w:sz w:val="18"/>
          <w:szCs w:val="18"/>
          <w:color w:val="auto"/>
        </w:rPr>
      </w:pPr>
    </w:p>
    <w:p>
      <w:pPr>
        <w:ind w:left="1020" w:right="120" w:hanging="195"/>
        <w:spacing w:after="0" w:line="30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patent and other intellectual property protection for our product candidates and technology, our competitors could develop and commercialize products and technology similar or identical to ours;</w:t>
      </w:r>
    </w:p>
    <w:p>
      <w:pPr>
        <w:spacing w:after="0" w:line="28" w:lineRule="exact"/>
        <w:rPr>
          <w:rFonts w:ascii="Arial" w:cs="Arial" w:eastAsia="Arial" w:hAnsi="Arial"/>
          <w:sz w:val="17"/>
          <w:szCs w:val="17"/>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and</w:t>
      </w:r>
    </w:p>
    <w:p>
      <w:pPr>
        <w:spacing w:after="0" w:line="117" w:lineRule="exact"/>
        <w:rPr>
          <w:rFonts w:ascii="Arial" w:cs="Arial" w:eastAsia="Arial" w:hAnsi="Arial"/>
          <w:sz w:val="18"/>
          <w:szCs w:val="18"/>
          <w:color w:val="auto"/>
        </w:rPr>
      </w:pPr>
    </w:p>
    <w:p>
      <w:pPr>
        <w:ind w:left="1020" w:right="54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companion diagnostics with third party collaborators, which must also separately be approved as medical devices by the FDA.</w:t>
      </w:r>
    </w:p>
    <w:p>
      <w:pPr>
        <w:spacing w:after="0" w:line="25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214"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were incorporated in Delaware in March 2013 under the name “PJ Pharmaceuticals, Inc.” In July 2013, we changed our name to “PMV Pharmaceuticals, Inc.” Our principal executive offices are located at 8 Clarke Drive, Suite 3, Cranbury, New Jersey 08512. Our telephone number is (609) 642-6670. Our website address is www.pmvpharma.com. Information contained on, or that can be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72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14" w:lineRule="exact"/>
        <w:rPr>
          <w:sz w:val="20"/>
          <w:szCs w:val="20"/>
          <w:color w:val="auto"/>
        </w:rPr>
      </w:pPr>
    </w:p>
    <w:p>
      <w:pPr>
        <w:ind w:left="300" w:right="100" w:firstLine="532"/>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An emerging growth company may take advantage of certain reduced reporting requirements that are otherwise applicable to public companies. These provisions include, but are not limited to:</w:t>
      </w:r>
    </w:p>
    <w:p>
      <w:pPr>
        <w:spacing w:after="0" w:line="69" w:lineRule="exact"/>
        <w:rPr>
          <w:sz w:val="20"/>
          <w:szCs w:val="20"/>
          <w:color w:val="auto"/>
        </w:rPr>
      </w:pPr>
    </w:p>
    <w:p>
      <w:pPr>
        <w:ind w:left="1020" w:right="20" w:hanging="195"/>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69" w:lineRule="exact"/>
        <w:rPr>
          <w:rFonts w:ascii="Arial" w:cs="Arial" w:eastAsia="Arial" w:hAnsi="Arial"/>
          <w:sz w:val="18"/>
          <w:szCs w:val="18"/>
          <w:color w:val="auto"/>
        </w:rPr>
      </w:pPr>
    </w:p>
    <w:p>
      <w:pPr>
        <w:ind w:left="1020" w:right="12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w:t>
      </w:r>
    </w:p>
    <w:p>
      <w:pPr>
        <w:spacing w:after="0" w:line="50" w:lineRule="exact"/>
        <w:rPr>
          <w:rFonts w:ascii="Arial" w:cs="Arial" w:eastAsia="Arial" w:hAnsi="Arial"/>
          <w:sz w:val="18"/>
          <w:szCs w:val="18"/>
          <w:color w:val="auto"/>
        </w:rPr>
      </w:pPr>
    </w:p>
    <w:p>
      <w:pPr>
        <w:ind w:left="1020" w:right="78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proxy statements and registration statements; and</w:t>
      </w:r>
    </w:p>
    <w:p>
      <w:pPr>
        <w:spacing w:after="0" w:line="50" w:lineRule="exact"/>
        <w:rPr>
          <w:rFonts w:ascii="Arial" w:cs="Arial" w:eastAsia="Arial" w:hAnsi="Arial"/>
          <w:sz w:val="18"/>
          <w:szCs w:val="18"/>
          <w:color w:val="auto"/>
        </w:rPr>
      </w:pPr>
    </w:p>
    <w:p>
      <w:pPr>
        <w:ind w:left="1020" w:right="66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any golden parachute payments.</w:t>
      </w:r>
    </w:p>
    <w:p>
      <w:pPr>
        <w:spacing w:after="0" w:line="145"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at least $1.07 billion in annual gross revenue; (ii) the date we are deemed to be a “large accelerated filer”; (iii) the issuance, in any three-year period, by us of more than $1.0 billion in non-convertible debt securities; and (iv) the last day of the fiscal year following the fifth anniversary of this offering.</w:t>
      </w:r>
    </w:p>
    <w:p>
      <w:pPr>
        <w:spacing w:after="0" w:line="170"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have taken advantage of reduced reporting requirements in this prospectus and may elect to take advantage of other reduced reporting requirements in our future filings with the Securities and Exchange Commission. As a result, the information that we provide to our stockholders may be different than, and not comparable to, information presented by other public reporting companies. In particular, in this prospectus, we have provided only two years of audited financial statements and have not included all of the executive compensation related information that would be required if we were not an emerging growth company.</w:t>
      </w:r>
    </w:p>
    <w:p>
      <w:pPr>
        <w:spacing w:after="0" w:line="172" w:lineRule="exact"/>
        <w:rPr>
          <w:sz w:val="20"/>
          <w:szCs w:val="20"/>
          <w:color w:val="auto"/>
        </w:rPr>
      </w:pPr>
    </w:p>
    <w:p>
      <w:pPr>
        <w:ind w:left="300" w:right="140" w:firstLine="532"/>
        <w:spacing w:after="0" w:line="241"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we either (i) irrevocably elect to “opt out” of such extended transition period or (ii) no longer qualify as an emerging growth company.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61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0615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Common stock offered by us</w:t>
            </w:r>
          </w:p>
        </w:tc>
        <w:tc>
          <w:tcPr>
            <w:tcW w:w="5680" w:type="dxa"/>
            <w:vAlign w:val="bottom"/>
          </w:tcPr>
          <w:p>
            <w:pPr>
              <w:ind w:left="360"/>
              <w:spacing w:after="0"/>
              <w:rPr>
                <w:sz w:val="20"/>
                <w:szCs w:val="20"/>
                <w:color w:val="auto"/>
              </w:rPr>
            </w:pPr>
            <w:r>
              <w:rPr>
                <w:rFonts w:ascii="Arial" w:cs="Arial" w:eastAsia="Arial" w:hAnsi="Arial"/>
                <w:sz w:val="18"/>
                <w:szCs w:val="18"/>
                <w:color w:val="auto"/>
              </w:rPr>
              <w:t>11,765,000 shares.</w:t>
            </w:r>
          </w:p>
        </w:tc>
      </w:tr>
      <w:tr>
        <w:trPr>
          <w:trHeight w:val="257"/>
        </w:trPr>
        <w:tc>
          <w:tcPr>
            <w:tcW w:w="5340" w:type="dxa"/>
            <w:vAlign w:val="bottom"/>
          </w:tcPr>
          <w:p>
            <w:pPr>
              <w:ind w:left="180"/>
              <w:spacing w:after="0"/>
              <w:rPr>
                <w:sz w:val="20"/>
                <w:szCs w:val="20"/>
                <w:color w:val="auto"/>
              </w:rPr>
            </w:pPr>
            <w:r>
              <w:rPr>
                <w:rFonts w:ascii="Arial" w:cs="Arial" w:eastAsia="Arial" w:hAnsi="Arial"/>
                <w:sz w:val="18"/>
                <w:szCs w:val="18"/>
                <w:color w:val="auto"/>
              </w:rPr>
              <w:t>Underwriters’ option to purchase additional shares</w:t>
            </w:r>
          </w:p>
        </w:tc>
        <w:tc>
          <w:tcPr>
            <w:tcW w:w="5680" w:type="dxa"/>
            <w:vAlign w:val="bottom"/>
          </w:tcPr>
          <w:p>
            <w:pPr>
              <w:ind w:left="360"/>
              <w:spacing w:after="0"/>
              <w:rPr>
                <w:sz w:val="20"/>
                <w:szCs w:val="20"/>
                <w:color w:val="auto"/>
              </w:rPr>
            </w:pPr>
            <w:r>
              <w:rPr>
                <w:rFonts w:ascii="Arial" w:cs="Arial" w:eastAsia="Arial" w:hAnsi="Arial"/>
                <w:sz w:val="18"/>
                <w:szCs w:val="18"/>
                <w:color w:val="auto"/>
              </w:rPr>
              <w:t>We have granted the underwriters an option for a period of</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30 days to purchase up to 1,764,750 additional shares of our</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common stock.</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Common stock to be outstanding immediately after this offering</w:t>
            </w:r>
          </w:p>
        </w:tc>
        <w:tc>
          <w:tcPr>
            <w:tcW w:w="5680" w:type="dxa"/>
            <w:vAlign w:val="bottom"/>
          </w:tcPr>
          <w:p>
            <w:pPr>
              <w:ind w:left="360"/>
              <w:spacing w:after="0"/>
              <w:rPr>
                <w:sz w:val="20"/>
                <w:szCs w:val="20"/>
                <w:color w:val="auto"/>
              </w:rPr>
            </w:pPr>
            <w:r>
              <w:rPr>
                <w:rFonts w:ascii="Arial" w:cs="Arial" w:eastAsia="Arial" w:hAnsi="Arial"/>
                <w:sz w:val="18"/>
                <w:szCs w:val="18"/>
                <w:color w:val="auto"/>
              </w:rPr>
              <w:t>42,999,310 shares (or 44,764,060 shares if the underwriters</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exercise their option to purchase additional shares in full).</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5680" w:type="dxa"/>
            <w:vAlign w:val="bottom"/>
          </w:tcPr>
          <w:p>
            <w:pPr>
              <w:ind w:left="360"/>
              <w:spacing w:after="0"/>
              <w:rPr>
                <w:sz w:val="20"/>
                <w:szCs w:val="20"/>
                <w:color w:val="auto"/>
              </w:rPr>
            </w:pPr>
            <w:r>
              <w:rPr>
                <w:rFonts w:ascii="Arial" w:cs="Arial" w:eastAsia="Arial" w:hAnsi="Arial"/>
                <w:sz w:val="18"/>
                <w:szCs w:val="18"/>
                <w:color w:val="auto"/>
              </w:rPr>
              <w:t>We estimate that the net proceeds to us from the sale of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shares of our common stock in this offering will be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approximately $182.6 million million, or approximately</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$210.5 million if the underwriters exercise their option to</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purchase additional shares in full, based upon the assumed</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initial public offering price of $17.00 per share, which is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midpoint of the estimated offering price range set forth on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cover page of this prospectus, and after deducting estimated</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underwriting discounts and commissions and estimated offering</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expenses payable by us.</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We currently anticipate that we will use the net proceeds from</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this offering, together with our existing cash, cash equivalents</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and short-term marketable securities, as follows: (1) to fund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Phase 1/2 development of PC14586; (2) to support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development of our R273H program, including lead optimization</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and IND-enabling studies; (3) for the development of our</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pipeline discovery programs; and (4) for other research and</w:t>
            </w:r>
          </w:p>
        </w:tc>
      </w:tr>
      <w:tr>
        <w:trPr>
          <w:trHeight w:val="202"/>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development opportunities, working capital and general</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corporate purposes.</w:t>
            </w:r>
          </w:p>
        </w:tc>
      </w:tr>
      <w:tr>
        <w:trPr>
          <w:trHeight w:val="284"/>
        </w:trPr>
        <w:tc>
          <w:tcPr>
            <w:tcW w:w="5340" w:type="dxa"/>
            <w:vAlign w:val="bottom"/>
          </w:tcPr>
          <w:p>
            <w:pPr>
              <w:spacing w:after="0"/>
              <w:rPr>
                <w:sz w:val="24"/>
                <w:szCs w:val="24"/>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See the section titled “Use of Proceeds” for more information.</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5680" w:type="dxa"/>
            <w:vAlign w:val="bottom"/>
          </w:tcPr>
          <w:p>
            <w:pPr>
              <w:ind w:left="360"/>
              <w:spacing w:after="0"/>
              <w:rPr>
                <w:sz w:val="20"/>
                <w:szCs w:val="20"/>
                <w:color w:val="auto"/>
              </w:rPr>
            </w:pPr>
            <w:r>
              <w:rPr>
                <w:rFonts w:ascii="Arial" w:cs="Arial" w:eastAsia="Arial" w:hAnsi="Arial"/>
                <w:sz w:val="18"/>
                <w:szCs w:val="18"/>
                <w:color w:val="auto"/>
              </w:rPr>
              <w:t>See the section of this prospectus titled “Risk Factors”</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beginning on page 12 and other information included in this</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prospectus for a discussion of factors you should carefully</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consider before deciding to invest in shares of our common</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stock.</w:t>
            </w:r>
          </w:p>
        </w:tc>
      </w:tr>
      <w:tr>
        <w:trPr>
          <w:trHeight w:val="283"/>
        </w:trPr>
        <w:tc>
          <w:tcPr>
            <w:tcW w:w="5340" w:type="dxa"/>
            <w:vAlign w:val="bottom"/>
          </w:tcPr>
          <w:p>
            <w:pPr>
              <w:ind w:left="180"/>
              <w:spacing w:after="0"/>
              <w:rPr>
                <w:sz w:val="20"/>
                <w:szCs w:val="20"/>
                <w:color w:val="auto"/>
              </w:rPr>
            </w:pPr>
            <w:r>
              <w:rPr>
                <w:rFonts w:ascii="Arial" w:cs="Arial" w:eastAsia="Arial" w:hAnsi="Arial"/>
                <w:sz w:val="18"/>
                <w:szCs w:val="18"/>
                <w:color w:val="auto"/>
              </w:rPr>
              <w:t>Proposed Nasdaq Global Select Market trading symbol</w:t>
            </w:r>
          </w:p>
        </w:tc>
        <w:tc>
          <w:tcPr>
            <w:tcW w:w="5680" w:type="dxa"/>
            <w:vAlign w:val="bottom"/>
          </w:tcPr>
          <w:p>
            <w:pPr>
              <w:ind w:left="360"/>
              <w:spacing w:after="0"/>
              <w:rPr>
                <w:sz w:val="20"/>
                <w:szCs w:val="20"/>
                <w:color w:val="auto"/>
              </w:rPr>
            </w:pPr>
            <w:r>
              <w:rPr>
                <w:rFonts w:ascii="Arial" w:cs="Arial" w:eastAsia="Arial" w:hAnsi="Arial"/>
                <w:sz w:val="18"/>
                <w:szCs w:val="18"/>
                <w:color w:val="auto"/>
              </w:rPr>
              <w:t>“PMVP”</w:t>
            </w:r>
          </w:p>
        </w:tc>
      </w:tr>
      <w:tr>
        <w:trPr>
          <w:trHeight w:val="236"/>
        </w:trPr>
        <w:tc>
          <w:tcPr>
            <w:tcW w:w="534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r>
      <w:tr>
        <w:trPr>
          <w:trHeight w:val="608"/>
        </w:trPr>
        <w:tc>
          <w:tcPr>
            <w:tcW w:w="5340" w:type="dxa"/>
            <w:vAlign w:val="bottom"/>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30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0" w:firstLine="532"/>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25,912,446 shares of our common stock outstanding as of June 30, 2020 (including an aggregate of 22,866,246 shares of common stock issuable upon conversion of our outstanding convertible preferred stock as of June 30, 2020), plus 5,321,864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1020" w:right="120" w:hanging="195"/>
        <w:spacing w:after="0" w:line="27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3,922,612 shares of common stock issuable upon exercise of options to purchase shares of our common stock outstanding as of June 30, 2020, with a weighted-average exercise price of $2.66 per share;</w:t>
      </w:r>
    </w:p>
    <w:p>
      <w:pPr>
        <w:spacing w:after="0" w:line="50" w:lineRule="exact"/>
        <w:rPr>
          <w:rFonts w:ascii="Arial" w:cs="Arial" w:eastAsia="Arial" w:hAnsi="Arial"/>
          <w:sz w:val="18"/>
          <w:szCs w:val="18"/>
          <w:color w:val="auto"/>
        </w:rPr>
      </w:pPr>
    </w:p>
    <w:p>
      <w:pPr>
        <w:ind w:left="1020" w:right="620" w:hanging="195"/>
        <w:spacing w:after="0" w:line="27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149,472 shares of common stock issuable upon exercise of options to purchase shares of our common stock that we granted after June 30, 2020, with a weighted-average exercise price of $8.53 per share;</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warrant to purchase an aggregate of 10,800 shares of our Series Seed convertible preferred stock outstanding as of</w:t>
      </w:r>
    </w:p>
    <w:p>
      <w:pPr>
        <w:spacing w:after="0" w:line="17" w:lineRule="exact"/>
        <w:rPr>
          <w:rFonts w:ascii="Arial" w:cs="Arial" w:eastAsia="Arial" w:hAnsi="Arial"/>
          <w:sz w:val="18"/>
          <w:szCs w:val="18"/>
          <w:color w:val="auto"/>
        </w:rPr>
      </w:pPr>
    </w:p>
    <w:p>
      <w:pPr>
        <w:ind w:left="1020"/>
        <w:spacing w:after="0" w:line="250" w:lineRule="auto"/>
        <w:rPr>
          <w:rFonts w:ascii="Arial" w:cs="Arial" w:eastAsia="Arial" w:hAnsi="Arial"/>
          <w:sz w:val="18"/>
          <w:szCs w:val="18"/>
          <w:color w:val="auto"/>
        </w:rPr>
      </w:pPr>
      <w:r>
        <w:rPr>
          <w:rFonts w:ascii="Arial" w:cs="Arial" w:eastAsia="Arial" w:hAnsi="Arial"/>
          <w:sz w:val="18"/>
          <w:szCs w:val="18"/>
          <w:color w:val="auto"/>
        </w:rPr>
        <w:t>June 30, 2020 that will be converted into a warrant to purchase an aggregate of 10,800 shares of our common stock, with an exercise price of $1.8518 per share, upon the completion of this offering;</w:t>
      </w:r>
    </w:p>
    <w:p>
      <w:pPr>
        <w:spacing w:after="0" w:line="73" w:lineRule="exact"/>
        <w:rPr>
          <w:rFonts w:ascii="Arial" w:cs="Arial" w:eastAsia="Arial" w:hAnsi="Arial"/>
          <w:sz w:val="18"/>
          <w:szCs w:val="18"/>
          <w:color w:val="auto"/>
        </w:rPr>
      </w:pPr>
    </w:p>
    <w:p>
      <w:pPr>
        <w:ind w:left="1020" w:right="260" w:hanging="195"/>
        <w:spacing w:after="0" w:line="24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4,406,374 shares of common stock reserved for future issuance under our 2020 Equity Incentive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5" w:lineRule="exact"/>
        <w:rPr>
          <w:rFonts w:ascii="Arial" w:cs="Arial" w:eastAsia="Arial" w:hAnsi="Arial"/>
          <w:sz w:val="18"/>
          <w:szCs w:val="18"/>
          <w:color w:val="auto"/>
        </w:rPr>
      </w:pPr>
    </w:p>
    <w:p>
      <w:pPr>
        <w:ind w:left="1020" w:right="100" w:hanging="195"/>
        <w:spacing w:after="0" w:line="24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400,752 shares of common stock reserved for issuance under our 2020 Employee Stock Purchase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17" w:lineRule="exact"/>
        <w:rPr>
          <w:sz w:val="20"/>
          <w:szCs w:val="20"/>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5.2651-for-1 reverse stock split of our common stock and our convertible preferred stock effected on September 18, 2020;</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outstanding options or warrant;</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from us in this offering;</w:t>
      </w:r>
    </w:p>
    <w:p>
      <w:pPr>
        <w:spacing w:after="0" w:line="117" w:lineRule="exact"/>
        <w:rPr>
          <w:rFonts w:ascii="Arial" w:cs="Arial" w:eastAsia="Arial" w:hAnsi="Arial"/>
          <w:sz w:val="18"/>
          <w:szCs w:val="18"/>
          <w:color w:val="auto"/>
        </w:rPr>
      </w:pPr>
    </w:p>
    <w:p>
      <w:pPr>
        <w:ind w:left="1020" w:right="60" w:hanging="195"/>
        <w:spacing w:after="0" w:line="27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shares of our common stock, which will occur immediately prior to the completion of this offering;</w:t>
      </w:r>
    </w:p>
    <w:p>
      <w:pPr>
        <w:spacing w:after="0" w:line="50" w:lineRule="exact"/>
        <w:rPr>
          <w:rFonts w:ascii="Arial" w:cs="Arial" w:eastAsia="Arial" w:hAnsi="Arial"/>
          <w:sz w:val="18"/>
          <w:szCs w:val="18"/>
          <w:color w:val="auto"/>
        </w:rPr>
      </w:pPr>
    </w:p>
    <w:p>
      <w:pPr>
        <w:ind w:left="1020" w:hanging="195"/>
        <w:spacing w:after="0" w:line="25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of an outstanding warrant exercisable for shares of our Series Seed convertible preferred stock into a warrant exercisable for 10,800 shares of our common stock, with an exercise price of $1.8518 per share upon the completion of this offering; and</w:t>
      </w:r>
    </w:p>
    <w:p>
      <w:pPr>
        <w:spacing w:after="0" w:line="69" w:lineRule="exact"/>
        <w:rPr>
          <w:rFonts w:ascii="Arial" w:cs="Arial" w:eastAsia="Arial" w:hAnsi="Arial"/>
          <w:sz w:val="18"/>
          <w:szCs w:val="18"/>
          <w:color w:val="auto"/>
        </w:rPr>
      </w:pPr>
    </w:p>
    <w:p>
      <w:pPr>
        <w:ind w:left="1020" w:right="260" w:hanging="195"/>
        <w:spacing w:after="0" w:line="27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which will occur immediately prior to the completion of this offering.</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5" w:right="6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84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106"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The following tables summarize our financial data for the periods and as of the dates indicated. We have derived our summary statements of operations data for the years ended December 31, 2018 and 2019 from our audited financial statements and related notes included elsewhere in this prospectus. For interim periods, we have derived our summary statements of operations data for the six months ended June 30, 2019 and 2020 and the summary balance sheet data as of June 30, 2020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our expected results for the year ending December 31, 2020. You should read the following summary financial data together with our financial statements and the related notes appearing elsewhere in this prospectus and the information in the sections titled “Selected Financial Data” and “Management’s Discussion and Analysis of Financial Condition and Results of Operations.”</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24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2"/>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6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13,853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20,759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03"/>
        </w:trPr>
        <w:tc>
          <w:tcPr>
            <w:tcW w:w="4940" w:type="dxa"/>
            <w:vAlign w:val="bottom"/>
          </w:tcPr>
          <w:p>
            <w:pPr>
              <w:ind w:left="38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34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5,039</w:t>
            </w:r>
          </w:p>
        </w:tc>
        <w:tc>
          <w:tcPr>
            <w:tcW w:w="1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5,878</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2,676</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18,892</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26,637</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10"/>
        </w:trPr>
        <w:tc>
          <w:tcPr>
            <w:tcW w:w="494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380"/>
              <w:spacing w:after="0" w:line="202" w:lineRule="exact"/>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7"/>
                <w:szCs w:val="17"/>
                <w:color w:val="auto"/>
              </w:rPr>
            </w:pPr>
          </w:p>
        </w:tc>
        <w:tc>
          <w:tcPr>
            <w:tcW w:w="134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1,341</w:t>
            </w:r>
          </w:p>
        </w:tc>
        <w:tc>
          <w:tcPr>
            <w:tcW w:w="1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1,301</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714</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4940" w:type="dxa"/>
            <w:vAlign w:val="bottom"/>
          </w:tcPr>
          <w:p>
            <w:pPr>
              <w:ind w:left="74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(17,535)</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(25,344)</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(12,127)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3"/>
        </w:trPr>
        <w:tc>
          <w:tcPr>
            <w:tcW w:w="4940" w:type="dxa"/>
            <w:vAlign w:val="bottom"/>
          </w:tcPr>
          <w:p>
            <w:pPr>
              <w:ind w:left="74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7"/>
                <w:szCs w:val="17"/>
                <w:color w:val="auto"/>
              </w:rPr>
            </w:pPr>
          </w:p>
        </w:tc>
        <w:tc>
          <w:tcPr>
            <w:tcW w:w="134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(17,538)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(25,352)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(12,129)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380"/>
              <w:spacing w:after="0"/>
              <w:rPr>
                <w:sz w:val="20"/>
                <w:szCs w:val="20"/>
                <w:color w:val="auto"/>
              </w:rPr>
            </w:pPr>
            <w:r>
              <w:rPr>
                <w:rFonts w:ascii="Arial" w:cs="Arial" w:eastAsia="Arial" w:hAnsi="Arial"/>
                <w:sz w:val="18"/>
                <w:szCs w:val="18"/>
                <w:color w:val="auto"/>
              </w:rPr>
              <w:t>Net loss per share — basic and diluted</w:t>
            </w:r>
            <w:r>
              <w:rPr>
                <w:rFonts w:ascii="Arial" w:cs="Arial" w:eastAsia="Arial" w:hAnsi="Arial"/>
                <w:sz w:val="15"/>
                <w:szCs w:val="15"/>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88"/>
              <w:spacing w:after="0" w:line="196" w:lineRule="exact"/>
              <w:rPr>
                <w:sz w:val="20"/>
                <w:szCs w:val="20"/>
                <w:color w:val="auto"/>
              </w:rPr>
            </w:pPr>
            <w:r>
              <w:rPr>
                <w:rFonts w:ascii="Arial" w:cs="Arial" w:eastAsia="Arial" w:hAnsi="Arial"/>
                <w:sz w:val="18"/>
                <w:szCs w:val="18"/>
                <w:color w:val="auto"/>
              </w:rPr>
              <w:t>(5.82)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(8.35)</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(4.01)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79"/>
        </w:trPr>
        <w:tc>
          <w:tcPr>
            <w:tcW w:w="4940" w:type="dxa"/>
            <w:vAlign w:val="bottom"/>
            <w:shd w:val="clear" w:color="auto" w:fill="CCEEFF"/>
          </w:tcPr>
          <w:p>
            <w:pPr>
              <w:ind w:left="380"/>
              <w:spacing w:after="0" w:line="179" w:lineRule="exact"/>
              <w:rPr>
                <w:sz w:val="20"/>
                <w:szCs w:val="20"/>
                <w:color w:val="auto"/>
              </w:rPr>
            </w:pPr>
            <w:r>
              <w:rPr>
                <w:rFonts w:ascii="Arial" w:cs="Arial" w:eastAsia="Arial" w:hAnsi="Arial"/>
                <w:sz w:val="18"/>
                <w:szCs w:val="18"/>
                <w:color w:val="auto"/>
              </w:rPr>
              <w:t>Weighted-average common shares outstanding —</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9"/>
              </w:rPr>
              <w:t>3,012,284</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3,035,243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3,024,097</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3,046,200</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380"/>
              <w:spacing w:after="0"/>
              <w:rPr>
                <w:sz w:val="20"/>
                <w:szCs w:val="20"/>
                <w:color w:val="auto"/>
              </w:rPr>
            </w:pPr>
            <w:r>
              <w:rPr>
                <w:rFonts w:ascii="Arial" w:cs="Arial" w:eastAsia="Arial" w:hAnsi="Arial"/>
                <w:sz w:val="18"/>
                <w:szCs w:val="18"/>
                <w:color w:val="auto"/>
              </w:rPr>
              <w:t>Pro forma net loss per share attributable to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560"/>
              <w:spacing w:after="0" w:line="202" w:lineRule="exact"/>
              <w:rPr>
                <w:sz w:val="20"/>
                <w:szCs w:val="20"/>
                <w:color w:val="auto"/>
              </w:rPr>
            </w:pPr>
            <w:r>
              <w:rPr>
                <w:rFonts w:ascii="Arial" w:cs="Arial" w:eastAsia="Arial" w:hAnsi="Arial"/>
                <w:sz w:val="18"/>
                <w:szCs w:val="18"/>
                <w:color w:val="auto"/>
              </w:rPr>
              <w:t>common stockholders — basic and diluted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940" w:type="dxa"/>
            <w:vAlign w:val="bottom"/>
          </w:tcPr>
          <w:p>
            <w:pPr>
              <w:ind w:left="5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940" w:type="dxa"/>
            <w:vAlign w:val="bottom"/>
            <w:shd w:val="clear" w:color="auto" w:fill="CCEEFF"/>
          </w:tcPr>
          <w:p>
            <w:pPr>
              <w:ind w:left="380"/>
              <w:spacing w:after="0" w:line="173" w:lineRule="exact"/>
              <w:rPr>
                <w:sz w:val="20"/>
                <w:szCs w:val="20"/>
                <w:color w:val="auto"/>
              </w:rPr>
            </w:pPr>
            <w:r>
              <w:rPr>
                <w:rFonts w:ascii="Arial" w:cs="Arial" w:eastAsia="Arial" w:hAnsi="Arial"/>
                <w:sz w:val="18"/>
                <w:szCs w:val="18"/>
                <w:color w:val="auto"/>
              </w:rPr>
              <w:t>Pro forma weighted-average number of common</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shares — basic and diluted (unaudited)</w:t>
            </w: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31,223,353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31,234,310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right="220" w:hanging="522"/>
        <w:spacing w:after="0" w:line="208" w:lineRule="auto"/>
        <w:tabs>
          <w:tab w:leader="none" w:pos="82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and Note 10 to our unaudited condensed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02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40246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300" w:type="dxa"/>
        <w:tblCellMar>
          <w:top w:w="0" w:type="dxa"/>
          <w:left w:w="0" w:type="dxa"/>
          <w:bottom w:w="0" w:type="dxa"/>
          <w:right w:w="0" w:type="dxa"/>
        </w:tblCellMar>
      </w:tblPr>
      <w:tr>
        <w:trPr>
          <w:trHeight w:val="177"/>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Pro Forma</w:t>
            </w:r>
            <w:r>
              <w:rPr>
                <w:rFonts w:ascii="Arial" w:cs="Arial" w:eastAsia="Arial" w:hAnsi="Arial"/>
                <w:sz w:val="24"/>
                <w:szCs w:val="24"/>
                <w:b w:val="1"/>
                <w:bCs w:val="1"/>
                <w:color w:val="auto"/>
                <w:w w:val="98"/>
                <w:vertAlign w:val="superscript"/>
              </w:rPr>
              <w:t>(1)</w:t>
            </w:r>
          </w:p>
        </w:tc>
        <w:tc>
          <w:tcPr>
            <w:tcW w:w="120" w:type="dxa"/>
            <w:vAlign w:val="bottom"/>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20"/>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40"/>
        </w:trPr>
        <w:tc>
          <w:tcPr>
            <w:tcW w:w="5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9"/>
              </w:rPr>
              <w:t>(unaudited)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  86,136</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156,106</w:t>
            </w:r>
          </w:p>
        </w:tc>
        <w:tc>
          <w:tcPr>
            <w:tcW w:w="4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338,689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81,704</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151,704</w:t>
            </w: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334,287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89,102</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159,042</w:t>
            </w:r>
          </w:p>
        </w:tc>
        <w:tc>
          <w:tcPr>
            <w:tcW w:w="4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341,625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5,177</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5,147</w:t>
            </w: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168,933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9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(90,661)</w:t>
            </w:r>
          </w:p>
        </w:tc>
        <w:tc>
          <w:tcPr>
            <w:tcW w:w="16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(90,661)</w:t>
            </w:r>
          </w:p>
        </w:tc>
        <w:tc>
          <w:tcPr>
            <w:tcW w:w="12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(90,661)</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(85,008)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153,895</w:t>
            </w:r>
          </w:p>
        </w:tc>
        <w:tc>
          <w:tcPr>
            <w:tcW w:w="4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336,478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20" w:right="40" w:hanging="522"/>
        <w:spacing w:after="0" w:line="216" w:lineRule="auto"/>
        <w:tabs>
          <w:tab w:leader="none" w:pos="8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pro forma balance sheet data give effect to (i) our issuance and sale in July 2020 of an aggregate of 5,321,864 shares of our Series D convertible preferred stock for gross proceeds of $70.0 million, (ii) the automatic conversion of all outstanding shares of our convertible preferred stock, including our shares of our Series D convertible preferred stock issued in July 2020, into an aggregate of 28,188,110 shares of our common stock immediately prior to the completion of this offering and (iii) the filing and effectiveness of our amended and restated certificate of incorporation, which will occur immediately prior to the completion of this offering.</w:t>
      </w:r>
    </w:p>
    <w:p>
      <w:pPr>
        <w:ind w:left="820" w:right="40" w:hanging="522"/>
        <w:spacing w:after="0"/>
        <w:tabs>
          <w:tab w:leader="none" w:pos="8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pro forma as adjusted balance sheet data give further effect to our issuance and sale of 11,765,000 shares of our common stock in this offering at the assumed initial public offering price of $17.00 per share, which is the midpoint of the estimated offering price range set forth on the cover page of this prospectus, after deducting estimated underwriting discounts and commissions and estimated offering expenses payable by us. The pro forma as adjusted balance sheet data is illustrative only and will depend on the actual initial public offering price and other terms of this offering determined at pricing. Each $1.00 increase or decrease in the assumed initial public offering price of $17.00 per share, which is the midpoint of the estimated offering price range set forth on the cover page of this prospectus, would increase or decrease, as applicable, our pro forma as adjusted cash, cash equivalents and short-term marketable securities, working capital, total assets and total stockholders’ equity by approximately $10.9 million, assuming the number of shares of common stock offered by us, as set forth on the cover page of this prospectus, remains the same, and after deducting estimated underwriting discounts and commissions and estimated offering expenses payable by us. Each increase or decrease of 1.0 million shares of common stock offered by us would increase or decrease, as applicable, our pro forma as adjusted cash, cash equivalents and short-term marketable securities, working capital, total assets and total stockholders’ equity by approximately $15.8 million, assuming the assumed initial public offering price of $17.00 per share, which is the midpoint of the estimated offering price range set forth on the cover page of this prospectus, remains the same, and after deducting estimated underwriting discounts and commissions and estimated offering expenses payable by us.</w:t>
      </w:r>
    </w:p>
    <w:p>
      <w:pPr>
        <w:spacing w:after="0" w:line="59" w:lineRule="exact"/>
        <w:rPr>
          <w:rFonts w:ascii="Arial" w:cs="Arial" w:eastAsia="Arial" w:hAnsi="Arial"/>
          <w:sz w:val="24"/>
          <w:szCs w:val="24"/>
          <w:color w:val="auto"/>
          <w:vertAlign w:val="superscript"/>
        </w:rPr>
      </w:pPr>
    </w:p>
    <w:p>
      <w:pPr>
        <w:ind w:left="820" w:right="240" w:hanging="522"/>
        <w:spacing w:after="0" w:line="185" w:lineRule="auto"/>
        <w:tabs>
          <w:tab w:leader="none" w:pos="8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unaudited condensed financial statements included elsewhere in this prospectus and related notes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“Management’s Discussion and Analysis of Financial Condition and Results of Operations,”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Many of the following risks and uncertainties are, and will be, exacerbated by the coronavirus disease 2019, or COVID-19, pandemic and any worsening of the global business and economic environment as a result. Additional risks and uncertainties not presently known to us or that we currently deem immaterial also may impair our business operations.</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Limited Operating History, Business, Financial Condition, Results of</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Operations and Need for Additional Capital</w:t>
      </w:r>
    </w:p>
    <w:p>
      <w:pPr>
        <w:spacing w:after="0" w:line="190" w:lineRule="exact"/>
        <w:rPr>
          <w:sz w:val="20"/>
          <w:szCs w:val="20"/>
          <w:color w:val="auto"/>
        </w:rPr>
      </w:pPr>
    </w:p>
    <w:p>
      <w:pPr>
        <w:ind w:left="120" w:right="380"/>
        <w:spacing w:after="0" w:line="314" w:lineRule="auto"/>
        <w:rPr>
          <w:sz w:val="20"/>
          <w:szCs w:val="20"/>
          <w:color w:val="auto"/>
        </w:rPr>
      </w:pPr>
      <w:r>
        <w:rPr>
          <w:rFonts w:ascii="Arial" w:cs="Arial" w:eastAsia="Arial" w:hAnsi="Arial"/>
          <w:sz w:val="17"/>
          <w:szCs w:val="17"/>
          <w:b w:val="1"/>
          <w:bCs w:val="1"/>
          <w:i w:val="1"/>
          <w:iCs w:val="1"/>
          <w:color w:val="auto"/>
        </w:rPr>
        <w:t>We have a limited operating history, have not initiated or completed any clinical trials, and have no products approved for commercial sale, which may make it difficult for you to evaluate our current business and likelihood of success and viability.</w:t>
      </w:r>
    </w:p>
    <w:p>
      <w:pPr>
        <w:spacing w:after="0" w:line="2"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We are a preclinical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product candidates. Our lead product candidate, PC14586, is still in preclinical development, and we recently received authorization to proceed under an investigational new drug application, or IND, with the U.S. Food and Drug Administration, or FDA. We have not demonstrated an ability to successfully initiate, conduct or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80"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72"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21"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become commercially viable. We are still in the early stages of development of our product candidates and have not yet initiated our first clinical trial.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incurred significant net losses in each period since we commenced operations in March 2013. Our net losses were $17.5 million and $25.4 million for the years ended December 31, 2018 and 2019, respectively, and $12.1 million and $15.2 million for the six months ended June 30, 2019 and 2020, respectively. As of June 30, 2020, we had an accumulated deficit of $90.7 million. Substantially all of our losses have resulted from expenses incurred in connection with our research and development programs and from general and administrative costs associated with our operations. We expect to continue to incur significant losses for the foreseeable future, and we expect these losses to increase substantially if and as we:</w:t>
      </w:r>
    </w:p>
    <w:p>
      <w:pPr>
        <w:spacing w:after="0" w:line="79" w:lineRule="exact"/>
        <w:rPr>
          <w:sz w:val="20"/>
          <w:szCs w:val="20"/>
          <w:color w:val="auto"/>
        </w:rPr>
      </w:pPr>
    </w:p>
    <w:p>
      <w:pPr>
        <w:ind w:left="880" w:right="90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research and development efforts and submit INDs for our lead product candidate and any other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preclinical studies and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1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87"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4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have not evaluated any product candidate in humans, including PC14586, our lead product candidate. As such, we face significant translational</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76" w:lineRule="exact"/>
        <w:rPr>
          <w:sz w:val="20"/>
          <w:szCs w:val="20"/>
          <w:color w:val="auto"/>
        </w:rPr>
      </w:pPr>
    </w:p>
    <w:p>
      <w:pPr>
        <w:ind w:left="880" w:right="440" w:hanging="224"/>
        <w:spacing w:after="0" w:line="255"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initiation and completion of our preclinical studies and clinical trials for our lead product candidate, PC14586, and our future product candidates, which may be significantly slower or cost more than we currently anticipate and will depend substantially upon the performance of third-party contractors;</w:t>
      </w:r>
    </w:p>
    <w:p>
      <w:pPr>
        <w:spacing w:after="0" w:line="69"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PC14586 and our future product candidates;</w:t>
      </w:r>
    </w:p>
    <w:p>
      <w:pPr>
        <w:spacing w:after="0" w:line="50" w:lineRule="exact"/>
        <w:rPr>
          <w:rFonts w:ascii="Arial" w:cs="Arial" w:eastAsia="Arial" w:hAnsi="Arial"/>
          <w:sz w:val="18"/>
          <w:szCs w:val="18"/>
          <w:color w:val="auto"/>
        </w:rPr>
      </w:pPr>
    </w:p>
    <w:p>
      <w:pPr>
        <w:ind w:left="880" w:right="70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complete IND-enabling studies and successfully submit and receive authorization to proceed under INDs or comparable applications;</w:t>
      </w:r>
    </w:p>
    <w:p>
      <w:pPr>
        <w:spacing w:after="0" w:line="50" w:lineRule="exact"/>
        <w:rPr>
          <w:rFonts w:ascii="Arial" w:cs="Arial" w:eastAsia="Arial" w:hAnsi="Arial"/>
          <w:sz w:val="18"/>
          <w:szCs w:val="18"/>
          <w:color w:val="auto"/>
        </w:rPr>
      </w:pPr>
    </w:p>
    <w:p>
      <w:pPr>
        <w:ind w:left="880" w:right="440" w:hanging="224"/>
        <w:spacing w:after="0" w:line="255"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69" w:lineRule="exact"/>
        <w:rPr>
          <w:rFonts w:ascii="Arial" w:cs="Arial" w:eastAsia="Arial" w:hAnsi="Arial"/>
          <w:sz w:val="18"/>
          <w:szCs w:val="18"/>
          <w:color w:val="auto"/>
        </w:rPr>
      </w:pPr>
    </w:p>
    <w:p>
      <w:pPr>
        <w:ind w:left="880" w:right="560" w:hanging="224"/>
        <w:spacing w:after="0" w:line="255"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comparable foreign regulatory authorities;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50" w:lineRule="exact"/>
        <w:rPr>
          <w:rFonts w:ascii="Arial" w:cs="Arial" w:eastAsia="Arial" w:hAnsi="Arial"/>
          <w:sz w:val="18"/>
          <w:szCs w:val="18"/>
          <w:color w:val="auto"/>
        </w:rPr>
      </w:pPr>
    </w:p>
    <w:p>
      <w:pPr>
        <w:ind w:left="880" w:right="80" w:hanging="224"/>
        <w:spacing w:after="0" w:line="248"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75"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demand for our product candidates and any future product candidates, if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left="120" w:right="160" w:firstLine="551"/>
        <w:spacing w:after="0" w:line="268" w:lineRule="auto"/>
        <w:rPr>
          <w:sz w:val="20"/>
          <w:szCs w:val="20"/>
          <w:color w:val="auto"/>
        </w:rPr>
      </w:pPr>
      <w:r>
        <w:rPr>
          <w:rFonts w:ascii="Arial" w:cs="Arial" w:eastAsia="Arial" w:hAnsi="Arial"/>
          <w:sz w:val="17"/>
          <w:szCs w:val="17"/>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61"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52"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are currently focused on developing orally available small molecule, tumor-agnostic therapies targeting p53 mutants. We seek to maintain a process of prioritization and resource allocation among our programs to maintain a balance between advancing our lead product candidate, PC14586, as well as developing our other and any future product candidates.</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programs or product candidates or misread trends in the cancer or pharmaceutical, biopharmaceutical or biotechnology industry, our business, financial condition and results of operations could be materially adversely affected.</w:t>
      </w:r>
    </w:p>
    <w:p>
      <w:pPr>
        <w:spacing w:after="0" w:line="288"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5"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8" w:lineRule="auto"/>
        <w:rPr>
          <w:sz w:val="20"/>
          <w:szCs w:val="20"/>
          <w:color w:val="auto"/>
        </w:rPr>
      </w:pPr>
      <w:r>
        <w:rPr>
          <w:rFonts w:ascii="Arial" w:cs="Arial" w:eastAsia="Arial" w:hAnsi="Arial"/>
          <w:sz w:val="18"/>
          <w:szCs w:val="18"/>
          <w:color w:val="auto"/>
        </w:rPr>
        <w:t>anticipated clinical trials are highly uncertain, we cannot reasonably estimate the actual amount of resources and funding that will be necessary to successfully complete the development and commercialization of any product candidate we develop. Following this offering, we also expect to incur additional costs associated with operating as a public company. Accordingly, we will need to obtain substantial additional funding in order to continue our operations.</w:t>
      </w:r>
    </w:p>
    <w:p>
      <w:pPr>
        <w:spacing w:after="0" w:line="17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of June 30, 2020, we had $86.1 million in cash, cash equivalents and short-term marketable securities. We also received gross proceeds of $70.0 million from the sale of shares of Series D convertible preferred stock in July 2020. Based on our current operating plan, we believe that the proceeds from this offering, together with our existing cash, cash equivalents and short-term marketable securities, will be sufficient to fund our operations at least through 2023. Our estimate as to how long we expect the net proceeds from this offering, together with our existing cash, cash equivalents and short-term marketable securities,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through public or private equity offerings, debt financings, collaborations and licensing arrangements or other sources. Such financing may dilute our stockholders or restrict our operating activities.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880" w:right="46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product candidates or any future product candidates we choose to pursue, and conducting preclinical studies and clinical trials, including our planned clinical trials of PC14586;</w:t>
      </w:r>
    </w:p>
    <w:p>
      <w:pPr>
        <w:spacing w:after="0" w:line="69"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 or any future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amount of any milestone, royalty and/or other payments we are required to make pursuant to any future license or collaboration agreements;</w:t>
      </w:r>
    </w:p>
    <w:p>
      <w:pPr>
        <w:spacing w:after="0" w:line="50" w:lineRule="exact"/>
        <w:rPr>
          <w:rFonts w:ascii="Arial" w:cs="Arial" w:eastAsia="Arial" w:hAnsi="Arial"/>
          <w:sz w:val="18"/>
          <w:szCs w:val="18"/>
          <w:color w:val="auto"/>
        </w:rPr>
      </w:pPr>
    </w:p>
    <w:p>
      <w:pPr>
        <w:ind w:left="880" w:right="96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manufacturing our product candidates or any future product candidates and any products we successfully commercialize;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commercialization activities of our product candidates, if approved for sale, including marketing, sales and distribution costs;</w:t>
      </w:r>
    </w:p>
    <w:p>
      <w:pPr>
        <w:spacing w:after="0" w:line="50" w:lineRule="exact"/>
        <w:rPr>
          <w:rFonts w:ascii="Arial" w:cs="Arial" w:eastAsia="Arial" w:hAnsi="Arial"/>
          <w:sz w:val="18"/>
          <w:szCs w:val="18"/>
          <w:color w:val="auto"/>
        </w:rPr>
      </w:pPr>
    </w:p>
    <w:p>
      <w:pPr>
        <w:ind w:left="880" w:right="320" w:hanging="224"/>
        <w:spacing w:after="0" w:line="306"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28" w:lineRule="exact"/>
        <w:rPr>
          <w:rFonts w:ascii="Arial" w:cs="Arial" w:eastAsia="Arial" w:hAnsi="Arial"/>
          <w:sz w:val="17"/>
          <w:szCs w:val="17"/>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needed to attract, hire and retain skilled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1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14"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52"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17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Further, even if our approach is successful in showing clinical benefit for tumors harboring the p53 mutation targeted by our lead product candidate, PC14586, we may never successfully identify additional product candidates for targeting other p53 mutants through our platform. Therefore, we do not know if our approach of treating patients with genetically defined cancers will be successful, and if our approach is unsuccessful, our business will be materially adversely affected.</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because our approach targets genetically defined cancer patients and not specific tumors based on tumor or cancer types, we are initially pursuing a tumor-agnostic development strategy (</w:t>
      </w:r>
      <w:r>
        <w:rPr>
          <w:rFonts w:ascii="Arial" w:cs="Arial" w:eastAsia="Arial" w:hAnsi="Arial"/>
          <w:sz w:val="18"/>
          <w:szCs w:val="18"/>
          <w:i w:val="1"/>
          <w:iCs w:val="1"/>
          <w:color w:val="auto"/>
        </w:rPr>
        <w:t>i.e.</w:t>
      </w:r>
      <w:r>
        <w:rPr>
          <w:rFonts w:ascii="Arial" w:cs="Arial" w:eastAsia="Arial" w:hAnsi="Arial"/>
          <w:sz w:val="18"/>
          <w:szCs w:val="18"/>
          <w:color w:val="auto"/>
        </w:rPr>
        <w:t>,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planned Phase 1/2 trial for PC14586 does not support a tumor-agnostic indication, but we observe clinical benefit in certain tumor or cancer types, we may decide to pursue a tumor- or cancer-specific indication which may require additional clinical trials. Further, even if our planned Phase 1/2 trial for PC14586 is successful, the FDA may not agree that such study can serve as a pivotal study, which would require us to conduct additional clinical trials prior to approval.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are very early in our development efforts and are substantially dependent on our lead product candidate, PC14586. If we are unable to advance PC14586 or any of our future product candidates through clinical development, obtain regulatory approval and ultimately commercialize PC14586 or any of our future product candidates, or experience significant delays in doing so, our business, financial condition and results of operations will be materially adversely affected.</w:t>
      </w:r>
    </w:p>
    <w:p>
      <w:pPr>
        <w:spacing w:after="0" w:line="5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are very early in our development efforts. All of our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PC14586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86" w:lineRule="exact"/>
        <w:rPr>
          <w:sz w:val="20"/>
          <w:szCs w:val="20"/>
          <w:color w:val="auto"/>
        </w:rPr>
      </w:pPr>
    </w:p>
    <w:p>
      <w:pPr>
        <w:ind w:left="880" w:right="200" w:hanging="224"/>
        <w:spacing w:after="0" w:line="24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our business operations and product candidate research and development, and adapt to any changes in the regulatory approval process, manufacturing supply or clinical trial requirements and timing due to the ongoing COVID-19 pandemic and otherwise, including complying with new regulatory guidance or requirements on conducting clinical trials during the COVID-19 pandemic;</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authorization to proceed under INDs for our planned clinical trials or future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acceptance of our tumor-agnostic development strategy;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 which may be impacted by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development with third party collaborators of companion diagnostics for use with our product candidates;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or any foreign regulatory authority for marketing approval;</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marketing approvals for our product candidates and any companion diagnostics from applicable regulatory authorities, which must be approved contemporaneously;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any required post-marketing approval commitments to applicable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212"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7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18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88" w:lineRule="exact"/>
        <w:rPr>
          <w:sz w:val="20"/>
          <w:szCs w:val="20"/>
          <w:color w:val="auto"/>
        </w:rPr>
      </w:pPr>
    </w:p>
    <w:p>
      <w:pPr>
        <w:jc w:val="both"/>
        <w:ind w:left="120" w:right="100"/>
        <w:spacing w:after="0" w:line="260" w:lineRule="auto"/>
        <w:rPr>
          <w:sz w:val="20"/>
          <w:szCs w:val="20"/>
          <w:color w:val="auto"/>
        </w:rPr>
      </w:pPr>
      <w:r>
        <w:rPr>
          <w:rFonts w:ascii="Arial" w:cs="Arial" w:eastAsia="Arial" w:hAnsi="Arial"/>
          <w:sz w:val="18"/>
          <w:szCs w:val="18"/>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43"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patient populations for our current product candidates are limited to those with specific p53 mutations, which represents a substantially smaller subset of the generally treated cancer patient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261" w:lineRule="exact"/>
        <w:rPr>
          <w:sz w:val="20"/>
          <w:szCs w:val="20"/>
          <w:color w:val="auto"/>
        </w:rPr>
      </w:pPr>
    </w:p>
    <w:p>
      <w:pPr>
        <w:ind w:left="120" w:right="80"/>
        <w:spacing w:after="0" w:line="314" w:lineRule="auto"/>
        <w:rPr>
          <w:sz w:val="20"/>
          <w:szCs w:val="20"/>
          <w:color w:val="auto"/>
        </w:rPr>
      </w:pPr>
      <w:r>
        <w:rPr>
          <w:rFonts w:ascii="Arial" w:cs="Arial" w:eastAsia="Arial" w:hAnsi="Arial"/>
          <w:sz w:val="17"/>
          <w:szCs w:val="17"/>
          <w:b w:val="1"/>
          <w:bCs w:val="1"/>
          <w:i w:val="1"/>
          <w:iCs w:val="1"/>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A key element of our strategy is to use and expand our platform to build a pipeline of product candidates and progress these product candidates through clinical development for the treatment of various cancers. Although our research and development efforts to date have resulted in our discovery and preclinical development of PC14586 and future product candidates, PC14586 and future product candidates may not be safe or effective as a cancer treatment, and we may not be able to further develop PC14586 and develop any future product candidates. Our platform is evolving and may not reach a state at which building a pipeline of product candidates is possible. For example, we may not be successful in identifying additional p53 hotspot mutations for which our platform can develop safe and effective product candidates. There can be no assurance that any development problems we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w:t>
      </w:r>
    </w:p>
    <w:p>
      <w:pPr>
        <w:spacing w:after="0" w:line="183"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 xml:space="preserve">Furthermore, even if our product candidates are successful in correcting structural deficiencies associated with p53 mutants, such success would not provide a guarantee of the effectiveness of such product candidate in total tumor regression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There can be no assurances that one or more of our future product candidates would succeed in correcting or restoring function of specific p53 mutants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and that such mutation would be the only genetic mutation resulting in a patient’s cancer. In the event that a patient’s cancer is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other mutations or factors in addition to a p53 mutation, even if we correct or restore the p53 functionality, the patient’s cancer may persist.</w:t>
      </w:r>
    </w:p>
    <w:p>
      <w:pPr>
        <w:spacing w:after="0" w:line="17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If we do not successfully develop and commercialize product candidates, we will not be able to generate product revenue which materially adversely affect our business, financial condition and results of operations.</w:t>
      </w:r>
    </w:p>
    <w:p>
      <w:pPr>
        <w:spacing w:after="0" w:line="253" w:lineRule="exact"/>
        <w:rPr>
          <w:sz w:val="20"/>
          <w:szCs w:val="20"/>
          <w:color w:val="auto"/>
        </w:rPr>
      </w:pPr>
    </w:p>
    <w:p>
      <w:pPr>
        <w:jc w:val="both"/>
        <w:ind w:left="120" w:right="220"/>
        <w:spacing w:after="0" w:line="260"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clinical development and ability to obtain regulatory approvals or commercialize our product candidates on a timely basis or at all, which could have an adverse effect on our business.</w:t>
      </w:r>
    </w:p>
    <w:p>
      <w:pPr>
        <w:spacing w:after="0" w:line="4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 Before we can commence clinical trials for a product candidate, we must complete extensive preclinical studies that support our planned INDs in the United States. At present, all of our product candidates, including our lead product candidate, PC14586, are in preclinical development. We cannot be certain of the timely completion or outcome of our preclinical studies and cannot predict if the FDA will accept our proposed clinical programs or if the outcome of our preclinical studies will ultimately support further development of our programs. While we recently received authorization to proceed under an IND for our lead product candidate, PC14586, we cannot be sure that we will be able to submit INDs or similar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applications with respect to our other product candidates on the timelines we expect, if at all, and we cannot be sure that submission of IND or similar applications will result in the FDA or other regulatory authorities allowing clinical trials to begin.</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78"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FDA’s good laboratory practice requirements and other applicable regulations;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ethics committee at each clinical site before each trial may be initiated;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and</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w:t>
      </w:r>
    </w:p>
    <w:p>
      <w:pPr>
        <w:spacing w:after="0" w:line="14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278" w:lineRule="exact"/>
        <w:rPr>
          <w:sz w:val="20"/>
          <w:szCs w:val="20"/>
          <w:color w:val="auto"/>
        </w:rPr>
      </w:pPr>
    </w:p>
    <w:p>
      <w:pPr>
        <w:jc w:val="both"/>
        <w:ind w:left="120" w:right="480"/>
        <w:spacing w:after="0" w:line="260" w:lineRule="auto"/>
        <w:rPr>
          <w:sz w:val="20"/>
          <w:szCs w:val="20"/>
          <w:color w:val="auto"/>
        </w:rPr>
      </w:pPr>
      <w:r>
        <w:rPr>
          <w:rFonts w:ascii="Arial" w:cs="Arial" w:eastAsia="Arial" w:hAnsi="Arial"/>
          <w:sz w:val="18"/>
          <w:szCs w:val="18"/>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will be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PC14586 will perform in future clinical trials as PC14586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site to site within a clinical trial. This subjectivity can increase the uncertainty of, and adversely impact, our clinical trial outcomes.</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145"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Even if we succeed in developing and commercializing our product candidates, we may never generate sufficient or sustainable revenue to enable us to be profitable.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PC14586, we recently entered in to a master services agreement with a CRO to lead our first-in-human planned open label Phase 1/2 clinical trial. There can be no assurance that we will be able to negotiate and enter into any additional master services agreement with other CROs, as necessary, on terms that are acceptable to us on a timely basis or at all.</w:t>
      </w:r>
    </w:p>
    <w:p>
      <w:pPr>
        <w:spacing w:after="0" w:line="284"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in the future to develop, novel companion diagnostics for some of our current or future product candidates. If we or our future partners are unable to successfully develop, validate and obtain approval for such companion diagnostics, or experience significant delays in doing so, we may not realize the full commercial potential of our future product candidates.</w:t>
      </w:r>
    </w:p>
    <w:p>
      <w:pPr>
        <w:spacing w:after="0" w:line="52"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genetic sequencing, or to develop novel companion diagnostics in collaboration with partners.</w:t>
      </w:r>
    </w:p>
    <w:p>
      <w:pPr>
        <w:spacing w:after="0" w:line="172"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Such companion diagnostics would be used during our clinical trials as well as in connection with the commercialization of our product candidates. In our Phase 1/2 clinical trial, we plan to work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little experience as a company in the development of diagnostics. As such, we expect to rely on future partners for the design, development and manufacture of appropriate diagnostics to pair with our current or future product candidates. We have not yet begun discussions with any potential partners with respect to the development of companion diagnostics and may be unsuccessful in entering into collaborations for the development of companion diagnostics for our programs and our current or future product candidates. If we enter into such collaborative agreements, we will be dependent on the sustained cooperation and effort of our future collaborators in developing and obtaining approval for these companion diagnostics. It may be necessary to resolve issues such as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170"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outside the United States as medical devices and require separate regulatory approval or clearance prior to commercialization. Moreover, the FDA generally requires the contemporaneous approval of companion diagnostics and the associated therapeutic.</w:t>
      </w:r>
    </w:p>
    <w:p>
      <w:pPr>
        <w:spacing w:after="0" w:line="164" w:lineRule="exact"/>
        <w:rPr>
          <w:sz w:val="20"/>
          <w:szCs w:val="20"/>
          <w:color w:val="auto"/>
        </w:rPr>
      </w:pPr>
    </w:p>
    <w:p>
      <w:pPr>
        <w:ind w:left="120" w:right="20" w:firstLine="551"/>
        <w:spacing w:after="0" w:line="263" w:lineRule="auto"/>
        <w:rPr>
          <w:sz w:val="20"/>
          <w:szCs w:val="20"/>
          <w:color w:val="auto"/>
        </w:rPr>
      </w:pPr>
      <w:r>
        <w:rPr>
          <w:rFonts w:ascii="Arial" w:cs="Arial" w:eastAsia="Arial" w:hAnsi="Arial"/>
          <w:sz w:val="17"/>
          <w:szCs w:val="17"/>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63" w:lineRule="exact"/>
        <w:rPr>
          <w:sz w:val="20"/>
          <w:szCs w:val="20"/>
          <w:color w:val="auto"/>
        </w:rPr>
      </w:pPr>
    </w:p>
    <w:p>
      <w:pPr>
        <w:ind w:left="88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50" w:lineRule="exact"/>
        <w:rPr>
          <w:rFonts w:ascii="Arial" w:cs="Arial" w:eastAsia="Arial" w:hAnsi="Arial"/>
          <w:sz w:val="18"/>
          <w:szCs w:val="18"/>
          <w:color w:val="auto"/>
        </w:rPr>
      </w:pPr>
    </w:p>
    <w:p>
      <w:pPr>
        <w:ind w:left="880" w:right="80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obtain approval of our current product candidates and any future product candidates that require companion diagnostics on a timely basis or at all.</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these events were to occur, our business would be adversely impacted.</w:t>
      </w:r>
    </w:p>
    <w:p>
      <w:pPr>
        <w:spacing w:after="0" w:line="320"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materially adversely impact our business, results of operations and financial condition, including our preclinical studies and clinical trials.</w:t>
      </w:r>
    </w:p>
    <w:p>
      <w:pPr>
        <w:spacing w:after="0" w:line="21"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January 2020, the World Health Organization declared the outbreak of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We continue to monitor the impact of the COVID-19 outbreak closely. The extent to which the COVID-19 outbreak will impact its operations or financial results is uncertain.</w:t>
      </w:r>
    </w:p>
    <w:p>
      <w:pPr>
        <w:spacing w:after="0" w:line="17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our administrative employees continuing their work outside of our offices and limited the number of staff in any given research and development laboratory. Our research and development teams are currently operating on a staggered schedule, which has altered our operations and processes. While the extent of the impact of the COVID-19 pandemic on our business and financial results is uncertain, a continued and prolonged public health crisis such as the COVID-19 pandemic could have a material adverse effect on our business, financial condition and results of operations. As a result of the COVID-19</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pandemic, we may experience disruptions that could severely impact our business, preclinical studies and clinical trials, including:</w:t>
      </w:r>
    </w:p>
    <w:p>
      <w:pPr>
        <w:spacing w:after="0" w:line="117"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0" w:lineRule="exact"/>
        <w:rPr>
          <w:rFonts w:ascii="Arial" w:cs="Arial" w:eastAsia="Arial" w:hAnsi="Arial"/>
          <w:sz w:val="18"/>
          <w:szCs w:val="18"/>
          <w:color w:val="auto"/>
        </w:rPr>
      </w:pPr>
    </w:p>
    <w:p>
      <w:pPr>
        <w:ind w:left="880" w:right="320" w:hanging="224"/>
        <w:spacing w:after="0" w:line="248"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75"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4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trial.</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COVID-19 pandemic continues to revolve rapidly, with the status of operations and government restrictions evolving weekly. The extent to which the outbreak impacts our business, preclinical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following this offering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the COVID-19 could materially and adversely affect our business and the value of our common stock.</w:t>
      </w:r>
    </w:p>
    <w:p>
      <w:pPr>
        <w:spacing w:after="0" w:line="17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our business could be materially adversely affected by other business disruptions to us or our third-party providers that could materially adversely affect our potential future revenue and financial condition and increase our costs and expenses. Our operations, and those of our CROs, contract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materially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84"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PC14586 will require patients to have the specific p53 Y220C mutation. If we are unable to locate a sufficient number of such patients, our clinical trial and development plans could be delayed.</w:t>
      </w:r>
    </w:p>
    <w:p>
      <w:pPr>
        <w:spacing w:after="0" w:line="174"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PC14586 clinical trials and our regulatory submissions, and increase the costs associated of the clinical trials.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52"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69"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or temporary suspension of the enrollment of patients in our planned clinical trial due to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obtain and maintain patient consents;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including as a result of contracting COVID-19 or other health conditions or being forced to quarantine, or, because they may be late-stage cancer patients, will not survive the full terms of the clinical trials.</w:t>
      </w:r>
    </w:p>
    <w:p>
      <w:pPr>
        <w:spacing w:after="0" w:line="16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0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PC14586 into the dose expansion phases of our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clinical trials. Such changes carry the risk that they will not achieve these intended objectives. Any of these changes could cause our product candidates to perform differently and affect the results of planned clinical trials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80" w:lineRule="exact"/>
        <w:rPr>
          <w:sz w:val="20"/>
          <w:szCs w:val="20"/>
          <w:color w:val="auto"/>
        </w:rPr>
      </w:pPr>
    </w:p>
    <w:p>
      <w:pPr>
        <w:jc w:val="both"/>
        <w:ind w:left="120" w:right="660"/>
        <w:spacing w:after="0" w:line="260"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43"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projections of both the number of people who have the p53 hotspot mutations we are targeting, who may have their tumors genetically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0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0"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preclinical studies or clinical trials;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2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business, financial condition and results of operations.</w:t>
      </w:r>
    </w:p>
    <w:p>
      <w:pPr>
        <w:spacing w:after="0" w:line="253" w:lineRule="exact"/>
        <w:rPr>
          <w:sz w:val="20"/>
          <w:szCs w:val="20"/>
          <w:color w:val="auto"/>
        </w:rPr>
      </w:pPr>
    </w:p>
    <w:p>
      <w:pPr>
        <w:ind w:left="120" w:right="440"/>
        <w:spacing w:after="0" w:line="28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In particular, we are aware of molecules in development that also are being explored for p53 upregulation/activation in various stages of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Daiichi Sankyo (out-licensed worldwide rights to Rain Therapeutics), Kartos Therapeutics, Novartis and Roche, including testing MDM2 inhibitors in combination with a variety of other anti-cancer agents.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83"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For additional information regarding our competition, see “Business— Competition.”</w:t>
      </w:r>
    </w:p>
    <w:p>
      <w:pPr>
        <w:spacing w:after="0" w:line="278"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76" w:lineRule="auto"/>
        <w:rPr>
          <w:sz w:val="20"/>
          <w:szCs w:val="20"/>
          <w:color w:val="auto"/>
        </w:rPr>
      </w:pPr>
      <w:r>
        <w:rPr>
          <w:rFonts w:ascii="Arial" w:cs="Arial" w:eastAsia="Arial" w:hAnsi="Arial"/>
          <w:sz w:val="18"/>
          <w:szCs w:val="18"/>
          <w:color w:val="auto"/>
        </w:rPr>
        <w:t>variables. The results from preclinical testing or early clinical trials of a product candidate may not be predictive of the results that will be obtained in later stage clinical trials of the product candidate.</w:t>
      </w:r>
    </w:p>
    <w:p>
      <w:pPr>
        <w:spacing w:after="0" w:line="145" w:lineRule="exact"/>
        <w:rPr>
          <w:sz w:val="20"/>
          <w:szCs w:val="20"/>
          <w:color w:val="auto"/>
        </w:rPr>
      </w:pPr>
    </w:p>
    <w:p>
      <w:pPr>
        <w:ind w:left="120" w:right="560" w:firstLine="551"/>
        <w:spacing w:after="0" w:line="276" w:lineRule="auto"/>
        <w:rPr>
          <w:sz w:val="20"/>
          <w:szCs w:val="20"/>
          <w:color w:val="auto"/>
        </w:rPr>
      </w:pPr>
      <w:r>
        <w:rPr>
          <w:rFonts w:ascii="Arial" w:cs="Arial" w:eastAsia="Arial" w:hAnsi="Arial"/>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50"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12"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6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27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4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While we have not yet initiated clinical trials for any of our product candidates, as is the case with all oncology drugs, it is likely that there may be significant side effects associated with their use. PC14586 or future product candidates may be used in populations for which safety concerns may be reviewed by regulatory agencies. In addition, we expect that PC14586 will be studied in combination with other therapies, which may exacerbate adverse events associated with the therapy. Further, our product candidates will be used in patients that have weakened immune systems, which may exacerbate any potential side effects associated with their use. Patients treated with PC14586 or any of our future product candidates may also be undergoing surgical, radiation and chemotherapy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PC14586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7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85" w:lineRule="exact"/>
        <w:rPr>
          <w:sz w:val="20"/>
          <w:szCs w:val="20"/>
          <w:color w:val="auto"/>
        </w:rPr>
      </w:pPr>
    </w:p>
    <w:p>
      <w:pPr>
        <w:ind w:left="120" w:right="700"/>
        <w:spacing w:after="0" w:line="285" w:lineRule="auto"/>
        <w:rPr>
          <w:sz w:val="20"/>
          <w:szCs w:val="20"/>
          <w:color w:val="auto"/>
        </w:rPr>
      </w:pPr>
      <w:r>
        <w:rPr>
          <w:rFonts w:ascii="Arial" w:cs="Arial" w:eastAsia="Arial" w:hAnsi="Arial"/>
          <w:sz w:val="18"/>
          <w:szCs w:val="18"/>
          <w:b w:val="1"/>
          <w:bCs w:val="1"/>
          <w:i w:val="1"/>
          <w:iCs w:val="1"/>
          <w:color w:val="auto"/>
        </w:rPr>
        <w:t>We expect to develop our current or future product candidates in combination with other therapies, which exposes us to additional risks.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intend to develop our current or future product candidates in combination with one or more currently approved cancer therapies or therapies in development. For example, our preclinical studies have demonstrated robust tumor regression when sub-therapeutic doses of PC14586 were used in combination with anti-PD-1 therapy. Patients may not be able to tolerate PC14586 or any of our future product candidates in combination with other therapies or dosing of PC14586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76" w:lineRule="exact"/>
        <w:rPr>
          <w:sz w:val="20"/>
          <w:szCs w:val="20"/>
          <w:color w:val="auto"/>
        </w:rPr>
      </w:pPr>
    </w:p>
    <w:p>
      <w:pPr>
        <w:jc w:val="both"/>
        <w:ind w:left="120" w:right="220" w:firstLine="551"/>
        <w:spacing w:after="0" w:line="255" w:lineRule="auto"/>
        <w:rPr>
          <w:sz w:val="20"/>
          <w:szCs w:val="20"/>
          <w:color w:val="auto"/>
        </w:rPr>
      </w:pPr>
      <w:r>
        <w:rPr>
          <w:rFonts w:ascii="Arial" w:cs="Arial" w:eastAsia="Arial" w:hAnsi="Arial"/>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PC14586 or any future product candidate, we may be unable to obtain approval of or successfully market any one or all of the current or future product candidates we develop. Additionally, if the third -party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88" w:lineRule="exact"/>
        <w:rPr>
          <w:sz w:val="20"/>
          <w:szCs w:val="20"/>
          <w:color w:val="auto"/>
        </w:rPr>
      </w:pPr>
    </w:p>
    <w:p>
      <w:pPr>
        <w:jc w:val="both"/>
        <w:ind w:left="120" w:right="80"/>
        <w:spacing w:after="0" w:line="260"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left="120" w:right="220" w:firstLine="551"/>
        <w:spacing w:after="0" w:line="263"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 after this offering.</w:t>
      </w:r>
    </w:p>
    <w:p>
      <w:pPr>
        <w:spacing w:after="0" w:line="15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288" w:lineRule="exact"/>
        <w:rPr>
          <w:sz w:val="20"/>
          <w:szCs w:val="20"/>
          <w:color w:val="auto"/>
        </w:rPr>
      </w:pPr>
    </w:p>
    <w:p>
      <w:pPr>
        <w:ind w:left="120" w:right="900"/>
        <w:spacing w:after="0" w:line="285"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21"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medical community. Various factors will influence whether our product candidates are accepted in the market, including:</w:t>
      </w:r>
    </w:p>
    <w:p>
      <w:pPr>
        <w:spacing w:after="0" w:line="117"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physicians, hospitals, cancer treatment centers and patients considering our product candidates as a safe and effective treatment;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adequate coverage, reimbursement and pricing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2"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72" w:lineRule="exact"/>
        <w:rPr>
          <w:sz w:val="20"/>
          <w:szCs w:val="20"/>
          <w:color w:val="auto"/>
        </w:rPr>
      </w:pPr>
    </w:p>
    <w:p>
      <w:pPr>
        <w:ind w:left="120" w:right="160"/>
        <w:spacing w:after="0" w:line="25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5" w:right="4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0"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18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72"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9"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80" w:lineRule="exact"/>
        <w:rPr>
          <w:sz w:val="20"/>
          <w:szCs w:val="20"/>
          <w:color w:val="auto"/>
        </w:rPr>
      </w:pPr>
    </w:p>
    <w:p>
      <w:pPr>
        <w:ind w:left="120" w:right="1220"/>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6"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88"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28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43" w:lineRule="exact"/>
        <w:rPr>
          <w:sz w:val="20"/>
          <w:szCs w:val="20"/>
          <w:color w:val="auto"/>
        </w:rPr>
      </w:pPr>
    </w:p>
    <w:p>
      <w:pPr>
        <w:ind w:left="120" w:right="260" w:firstLine="551"/>
        <w:spacing w:after="0" w:line="255" w:lineRule="auto"/>
        <w:rPr>
          <w:sz w:val="20"/>
          <w:szCs w:val="20"/>
          <w:color w:val="auto"/>
        </w:rPr>
      </w:pPr>
      <w:r>
        <w:rPr>
          <w:rFonts w:ascii="Arial" w:cs="Arial" w:eastAsia="Arial" w:hAnsi="Arial"/>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other pharmaceutical and biotechnology companies to recruit, hire, train and retain marketing and sales personnel.</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Regulatory Process and Other Legal Compliance Matters</w:t>
      </w:r>
    </w:p>
    <w:p>
      <w:pPr>
        <w:spacing w:after="0" w:line="214"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PC14586, we must demonstrate through lengthy, complex and expensive preclinical studies and clinical trials that our product candidates are both safe and effective for each targeted indication.</w:t>
      </w:r>
    </w:p>
    <w:p>
      <w:pPr>
        <w:spacing w:after="0" w:line="172"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70"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FDA has recently issued guidance on conducting clinical trials during the pandemic, which describes a number of considerations for sponsors of clinical trials impacted by the COVID-19 pandemic, including recordkeeping and implementation of contingency measures in response to the ongoing pandemic. The FDA and comparable authorities in other countries have substantial discretion in the approval process and may refuse to accept any application or may decide that our data are insufficient for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76" w:lineRule="auto"/>
        <w:rPr>
          <w:sz w:val="20"/>
          <w:szCs w:val="20"/>
          <w:color w:val="auto"/>
        </w:rPr>
      </w:pPr>
      <w:r>
        <w:rPr>
          <w:rFonts w:ascii="Arial" w:cs="Arial" w:eastAsia="Arial" w:hAnsi="Arial"/>
          <w:sz w:val="18"/>
          <w:szCs w:val="18"/>
          <w:color w:val="auto"/>
        </w:rPr>
        <w:t>approval and require additional preclinical, clinical or other data. Our product candidates could be delayed in receiving, or fail to receive, regulatory approval for many reasons, including the following:</w:t>
      </w:r>
    </w:p>
    <w:p>
      <w:pPr>
        <w:spacing w:after="0" w:line="50" w:lineRule="exact"/>
        <w:rPr>
          <w:sz w:val="20"/>
          <w:szCs w:val="20"/>
          <w:color w:val="auto"/>
        </w:rPr>
      </w:pPr>
    </w:p>
    <w:p>
      <w:pPr>
        <w:ind w:left="880" w:right="400" w:hanging="224"/>
        <w:spacing w:after="0" w:line="248"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including our proposed Phase 1/2 clinical trial design for PC14586, or require us to modify the design of our clinical trials, including additional procedures and contingency measures in response to the COVID-19 pandemic or as required by clinical sites, IRBs, FDA or other regulatory authorities;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tumor-agnostic development strategy;</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50"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fail to approve companion diagnostic tests that may be required for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0" w:lineRule="exact"/>
        <w:rPr>
          <w:rFonts w:ascii="Arial" w:cs="Arial" w:eastAsia="Arial" w:hAnsi="Arial"/>
          <w:sz w:val="18"/>
          <w:szCs w:val="18"/>
          <w:color w:val="auto"/>
        </w:rPr>
      </w:pPr>
    </w:p>
    <w:p>
      <w:pPr>
        <w:ind w:left="880" w:right="760" w:hanging="224"/>
        <w:spacing w:after="0" w:line="306"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28" w:lineRule="exact"/>
        <w:rPr>
          <w:rFonts w:ascii="Arial" w:cs="Arial" w:eastAsia="Arial" w:hAnsi="Arial"/>
          <w:sz w:val="17"/>
          <w:szCs w:val="17"/>
          <w:color w:val="auto"/>
        </w:rPr>
      </w:pPr>
    </w:p>
    <w:p>
      <w:pPr>
        <w:ind w:left="880" w:right="24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45"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0"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253"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18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7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Even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52"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40"/>
        <w:spacing w:after="0" w:line="28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87"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5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All of our lead product candidates are in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future clinical trials may not be successful.</w:t>
      </w:r>
    </w:p>
    <w:p>
      <w:pPr>
        <w:spacing w:after="0" w:line="180"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5" w:lineRule="auto"/>
        <w:rPr>
          <w:sz w:val="20"/>
          <w:szCs w:val="20"/>
          <w:color w:val="auto"/>
        </w:rPr>
      </w:pPr>
      <w:r>
        <w:rPr>
          <w:rFonts w:ascii="Arial" w:cs="Arial" w:eastAsia="Arial" w:hAnsi="Arial"/>
          <w:sz w:val="18"/>
          <w:szCs w:val="18"/>
          <w:color w:val="auto"/>
        </w:rPr>
        <w:t>years to complete, and its outcome is inherently uncertain. Human clinical trials are expensive and difficult to design and implement, in part because they are subject to rigorous regulatory requirements. Failure or delay can occur at any time during the clinical trial process. In addition, the COVID-19 pandemic is still evolving as of this time and much of its impact remains unknown, and it is impossible to predict the impact the COVID-19 pandemic may have on the development of our product candidates, our preclinical studies and clinical trials and our business.</w:t>
      </w:r>
    </w:p>
    <w:p>
      <w:pPr>
        <w:spacing w:after="0" w:line="17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Additionally, some of the clinical trials we conduct, including our planned PC14586 Phase 1/2 clinical trial,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may experience delays in obtaining the FDA’s authorization to initiate clinical trials, completing ongoing preclinical studies of our future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8"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tumor-agnostic development strategy;</w:t>
      </w:r>
    </w:p>
    <w:p>
      <w:pPr>
        <w:spacing w:after="0" w:line="117"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obtaining regulatory approval or authorization to commence a clinical trial, including delays or issues relating to any future companion diagnostics which we may develop;</w:t>
      </w:r>
    </w:p>
    <w:p>
      <w:pPr>
        <w:spacing w:after="0" w:line="50"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IRB or ethics committee approval at each clinical trial site;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having third-party contractors fail to complete their obligations in a timely manner or failing to comply with applicable regulatory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preclinical studies or clinical trials from third-party suppliers.</w:t>
      </w:r>
    </w:p>
    <w:p>
      <w:pPr>
        <w:spacing w:after="0" w:line="21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Changes in funding or 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285" w:lineRule="exact"/>
        <w:rPr>
          <w:sz w:val="20"/>
          <w:szCs w:val="20"/>
          <w:color w:val="auto"/>
        </w:rPr>
      </w:pPr>
    </w:p>
    <w:p>
      <w:pPr>
        <w:jc w:val="both"/>
        <w:ind w:left="120" w:right="40"/>
        <w:spacing w:after="0" w:line="260"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3"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7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 consuming post-approval studies, post-market surveillance or clinical trials to monitor the safety and efficacy of the product. The FDA may also require a risk evaluation and mitigation strategy, or REMS, in order to approve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7"/>
          <w:szCs w:val="17"/>
          <w:color w:val="auto"/>
        </w:rPr>
        <w:t>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good laboratory practice, or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5" w:lineRule="exact"/>
        <w:rPr>
          <w:sz w:val="20"/>
          <w:szCs w:val="20"/>
          <w:color w:val="auto"/>
        </w:rPr>
      </w:pPr>
    </w:p>
    <w:p>
      <w:pPr>
        <w:ind w:left="880" w:right="4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50"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50"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880" w:right="58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5" w:right="5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85" w:lineRule="auto"/>
        <w:rPr>
          <w:sz w:val="20"/>
          <w:szCs w:val="20"/>
          <w:color w:val="auto"/>
        </w:rPr>
      </w:pPr>
      <w:r>
        <w:rPr>
          <w:rFonts w:ascii="Arial" w:cs="Arial" w:eastAsia="Arial" w:hAnsi="Arial"/>
          <w:sz w:val="18"/>
          <w:szCs w:val="18"/>
          <w:b w:val="1"/>
          <w:bCs w:val="1"/>
          <w:i w:val="1"/>
          <w:iCs w:val="1"/>
          <w:color w:val="auto"/>
        </w:rPr>
        <w:t>Healthcare legislative measures aimed at reducing healthcare costs may have a material adverse effect on our business and results of operations.</w:t>
      </w:r>
    </w:p>
    <w:p>
      <w:pPr>
        <w:spacing w:after="0" w:line="21" w:lineRule="exact"/>
        <w:rPr>
          <w:sz w:val="20"/>
          <w:szCs w:val="20"/>
          <w:color w:val="auto"/>
        </w:rPr>
      </w:pPr>
    </w:p>
    <w:p>
      <w:pPr>
        <w:ind w:left="120" w:right="240" w:firstLine="551"/>
        <w:spacing w:after="0" w:line="241"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1" w:lineRule="exact"/>
        <w:rPr>
          <w:sz w:val="20"/>
          <w:szCs w:val="20"/>
          <w:color w:val="auto"/>
        </w:rPr>
      </w:pPr>
    </w:p>
    <w:p>
      <w:pPr>
        <w:ind w:left="120" w:right="260" w:hanging="4"/>
        <w:spacing w:after="0" w:line="242" w:lineRule="auto"/>
        <w:tabs>
          <w:tab w:leader="none" w:pos="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Tax Act,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Tax Act,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although it is unclear when or how the Supreme Court will rule. It is also unclear how other efforts to challenge, repeal or replace the ACA will impact the ACA or our business.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80"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The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the U.S. Court of Appeals for the Federal Circuit ruled that the federal government was not required to pay to third-party payors more than</w:t>
      </w:r>
    </w:p>
    <w:p>
      <w:pPr>
        <w:spacing w:after="0" w:line="3" w:lineRule="exact"/>
        <w:rPr>
          <w:sz w:val="20"/>
          <w:szCs w:val="20"/>
          <w:color w:val="auto"/>
        </w:rPr>
      </w:pPr>
    </w:p>
    <w:p>
      <w:pPr>
        <w:ind w:left="120" w:right="620"/>
        <w:spacing w:after="0" w:line="250" w:lineRule="auto"/>
        <w:rPr>
          <w:sz w:val="20"/>
          <w:szCs w:val="20"/>
          <w:color w:val="auto"/>
        </w:rPr>
      </w:pPr>
      <w:r>
        <w:rPr>
          <w:rFonts w:ascii="Arial" w:cs="Arial" w:eastAsia="Arial" w:hAnsi="Arial"/>
          <w:sz w:val="18"/>
          <w:szCs w:val="18"/>
          <w:color w:val="auto"/>
        </w:rPr>
        <w:t>$12 billion in ACA risk corridor payments that they argued were owed to them. This was appealed to the U.S. Supreme Court, who reversed the Federal Circuit’s decision on April 27, 2020, and ruled that the government must make risk corridor payments.</w:t>
      </w:r>
    </w:p>
    <w:p>
      <w:pPr>
        <w:spacing w:after="0" w:line="1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repeals the Cadillac tax and the health insurance provider tax. It is impossible to determine whether similar taxes could be instated in the future.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was to remain in effect through 2029 unless additional Congressional action was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18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5"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authority. For example, in May 2019, CMS issued a final rule to allow Medicare Advantage Plans the option of using step therapy, a type of prior authorization, for Part B drugs beginning January 1, 2020. This final rule codified CMS’s policy change that was effective January 1, 2019.</w:t>
      </w:r>
    </w:p>
    <w:p>
      <w:pPr>
        <w:spacing w:after="0" w:line="16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8"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2"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88"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which will be effective as of the date of the effectiveness of the registration statement of which this prospectus forms a part,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0"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43"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55" w:lineRule="auto"/>
        <w:rPr>
          <w:sz w:val="20"/>
          <w:szCs w:val="20"/>
          <w:color w:val="auto"/>
        </w:rPr>
      </w:pPr>
      <w:r>
        <w:rPr>
          <w:rFonts w:ascii="Arial" w:cs="Arial" w:eastAsia="Arial" w:hAnsi="Arial"/>
          <w:sz w:val="18"/>
          <w:szCs w:val="18"/>
          <w:color w:val="auto"/>
        </w:rPr>
        <w:t>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69" w:lineRule="exact"/>
        <w:rPr>
          <w:sz w:val="20"/>
          <w:szCs w:val="20"/>
          <w:color w:val="auto"/>
        </w:rPr>
      </w:pPr>
    </w:p>
    <w:p>
      <w:pPr>
        <w:ind w:left="880" w:right="4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85"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85" w:lineRule="exact"/>
        <w:rPr>
          <w:rFonts w:ascii="Arial" w:cs="Arial" w:eastAsia="Arial" w:hAnsi="Arial"/>
          <w:sz w:val="18"/>
          <w:szCs w:val="18"/>
          <w:color w:val="auto"/>
        </w:rPr>
      </w:pPr>
    </w:p>
    <w:p>
      <w:pPr>
        <w:ind w:left="880" w:right="2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85" w:lineRule="exact"/>
        <w:rPr>
          <w:rFonts w:ascii="Arial" w:cs="Arial" w:eastAsia="Arial" w:hAnsi="Arial"/>
          <w:sz w:val="18"/>
          <w:szCs w:val="18"/>
          <w:color w:val="auto"/>
        </w:rPr>
      </w:pPr>
    </w:p>
    <w:p>
      <w:pPr>
        <w:ind w:left="880" w:right="60" w:hanging="224"/>
        <w:spacing w:after="0" w:line="24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20"/>
        <w:spacing w:after="0" w:line="276" w:lineRule="auto"/>
        <w:rPr>
          <w:sz w:val="20"/>
          <w:szCs w:val="20"/>
          <w:color w:val="auto"/>
        </w:rPr>
      </w:pPr>
      <w:r>
        <w:rPr>
          <w:rFonts w:ascii="Arial" w:cs="Arial" w:eastAsia="Arial" w:hAnsi="Arial"/>
          <w:sz w:val="18"/>
          <w:szCs w:val="18"/>
          <w:color w:val="auto"/>
        </w:rPr>
        <w:t>these reporting obligations will extend to include payments and transfers of value made to certain non-physician providers such as physician assistants and nurse practitioners;</w:t>
      </w:r>
    </w:p>
    <w:p>
      <w:pPr>
        <w:spacing w:after="0" w:line="50" w:lineRule="exact"/>
        <w:rPr>
          <w:sz w:val="20"/>
          <w:szCs w:val="20"/>
          <w:color w:val="auto"/>
        </w:rPr>
      </w:pPr>
    </w:p>
    <w:p>
      <w:pPr>
        <w:ind w:left="880" w:right="660" w:hanging="224"/>
        <w:spacing w:after="0" w:line="27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7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connection with our planned clinical trials or enrollment or continued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 xml:space="preserve">the transfer of personal data to countries outside the EU, including the United States, and permits data protection authorities to impose large penalties for violations of the GDPR, including potential fines of up to </w:t>
      </w:r>
      <w:r>
        <w:rPr>
          <w:rFonts w:ascii="Times New Roman" w:cs="Times New Roman" w:eastAsia="Times New Roman" w:hAnsi="Times New Roman"/>
          <w:sz w:val="17"/>
          <w:szCs w:val="17"/>
          <w:color w:val="auto"/>
        </w:rPr>
        <w:t>€</w:t>
      </w:r>
      <w:r>
        <w:rPr>
          <w:rFonts w:ascii="Arial" w:cs="Arial" w:eastAsia="Arial" w:hAnsi="Arial"/>
          <w:sz w:val="17"/>
          <w:szCs w:val="17"/>
          <w:color w:val="auto"/>
        </w:rPr>
        <w:t>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6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77"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84"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ind w:left="120" w:right="340"/>
        <w:spacing w:after="0" w:line="285"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21"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Operating Officer and Chief Financial Officer and our Chief Medical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174"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consulting relationships with our scientific founders or if they provide services to our competitors, our development and commercialization efforts will be impaired and our business will be materially adversely affected.</w:t>
      </w:r>
    </w:p>
    <w:p>
      <w:pPr>
        <w:spacing w:after="0" w:line="253"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21"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As of September 18, 2020, we had 39 full-time employees, including 32 employees engaged in research and development activities.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6"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other comparable foreign regulatory agencies’ review process for PC14586 and any future product candidates, while complying with any contractual obligations to contractors and other third parties we may have; and</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2"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PC14586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PC14586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PC14586 and future product candidates and, accordingly, may not achieve our research, development and commercialization goals.</w:t>
      </w:r>
    </w:p>
    <w:p>
      <w:pPr>
        <w:spacing w:after="0" w:line="27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5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Despite the implementation of security measures in an effort to protect systems that store our information, given their size and complexity and the increasing amounts of information maintained on</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For example, companies have experienced an increase in phishing and social engineering attacks from third parties in connection with the COVID-19 pandemic.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in or, failure or security breach of our systems or third-party systems where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5"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72" w:lineRule="exact"/>
        <w:rPr>
          <w:sz w:val="20"/>
          <w:szCs w:val="20"/>
          <w:color w:val="auto"/>
        </w:rPr>
      </w:pPr>
    </w:p>
    <w:p>
      <w:pPr>
        <w:ind w:left="120" w:right="320"/>
        <w:spacing w:after="0" w:line="285" w:lineRule="auto"/>
        <w:rPr>
          <w:sz w:val="20"/>
          <w:szCs w:val="20"/>
          <w:color w:val="auto"/>
        </w:rPr>
      </w:pPr>
      <w:r>
        <w:rPr>
          <w:rFonts w:ascii="Arial" w:cs="Arial" w:eastAsia="Arial" w:hAnsi="Arial"/>
          <w:sz w:val="18"/>
          <w:szCs w:val="18"/>
          <w:b w:val="1"/>
          <w:bCs w:val="1"/>
          <w:i w:val="1"/>
          <w:iCs w:val="1"/>
          <w:color w:val="auto"/>
        </w:rPr>
        <w:t>Business disruptions could materially adversely affect our future revenue and financial condition and increase our costs and expenses.</w:t>
      </w:r>
    </w:p>
    <w:p>
      <w:pPr>
        <w:spacing w:after="0" w:line="21" w:lineRule="exact"/>
        <w:rPr>
          <w:sz w:val="20"/>
          <w:szCs w:val="20"/>
          <w:color w:val="auto"/>
        </w:rPr>
      </w:pPr>
    </w:p>
    <w:p>
      <w:pPr>
        <w:ind w:left="120" w:right="100" w:firstLine="551"/>
        <w:spacing w:after="0" w:line="260"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6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future taxable income may be limited.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net operating loss, or NOL, carryforwards may be unavailable to offset future taxable income because of restrictions under U.S. tax law. Our federal NOLs generated in tax years ending on or prior to December 31, 2017 are only permitted to be carried forward for 20 taxable years, and therefore could expire unused. Under the Tax Act, as amended by the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w:t>
      </w:r>
    </w:p>
    <w:p>
      <w:pPr>
        <w:spacing w:after="0" w:line="174"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As of December 31, 2018 and 2019, we had federal NOL carryforwards of $43.0 million and $ 66.4 million, respectively. As of December 31, 2018, we had state NOL carryforwards for New Jersey, California and Massachusetts of approximately $38.8 million, $4.9 million and $0.4 million, respectively. As of December 31, 2019, we had state NOL carryforwards for New Jersey, California and Massachusetts of approximately $61.5 million, $ 4.9 million and $0.9 million, respectively. The federal and state NOL carryforwards expire beginning in the year 2033. We also had federal and state research and development credit carryforwards of approximately $1.7 million and $2.2 million, respectively, as of December 31, 2018 and 2019. The federal credits will begin to expire in 2034 if not utilized. The California state credits carryforward indefinitely and the New Jersey state credits expire starting in 2021.</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this offering or subsequent shifts in our stock ownership, some of which are outside our control. We have not conducted any studies to determine whether we have experienced an ownership change or the annual limitations, if any, that could result from such an ownership change. Our ability to utilize our NOLs and certain other tax attributes could be limited by an ownership change as described above and consequently, we may not be able to utilize a material</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60"/>
        <w:spacing w:after="0" w:line="276" w:lineRule="auto"/>
        <w:rPr>
          <w:sz w:val="20"/>
          <w:szCs w:val="20"/>
          <w:color w:val="auto"/>
        </w:rPr>
      </w:pPr>
      <w:r>
        <w:rPr>
          <w:rFonts w:ascii="Arial" w:cs="Arial" w:eastAsia="Arial" w:hAnsi="Arial"/>
          <w:sz w:val="18"/>
          <w:szCs w:val="18"/>
          <w:color w:val="auto"/>
        </w:rPr>
        <w:t>portion of our NOLs and certain other tax attributes, which could have a material adverse effect on our cash flows and results of operations.</w:t>
      </w:r>
    </w:p>
    <w:p>
      <w:pPr>
        <w:spacing w:after="0" w:line="253" w:lineRule="exact"/>
        <w:rPr>
          <w:sz w:val="20"/>
          <w:szCs w:val="20"/>
          <w:color w:val="auto"/>
        </w:rPr>
      </w:pPr>
    </w:p>
    <w:p>
      <w:pPr>
        <w:ind w:left="120" w:right="300"/>
        <w:spacing w:after="0" w:line="251" w:lineRule="auto"/>
        <w:rPr>
          <w:sz w:val="20"/>
          <w:szCs w:val="20"/>
          <w:color w:val="auto"/>
        </w:rPr>
      </w:pPr>
      <w:r>
        <w:rPr>
          <w:rFonts w:ascii="Arial" w:cs="Arial" w:eastAsia="Arial" w:hAnsi="Arial"/>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5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14"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43"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72"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0"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35"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880" w:right="46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50"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new manufacturer would have to be educated in, or develop substantially equivalent processes for, the production of our product candidates;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candidates or produce the quantity and quality required to meet our clinical and commercial needs, if any;</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and other logistical support requirements appropriately;</w:t>
      </w:r>
    </w:p>
    <w:p>
      <w:pPr>
        <w:spacing w:after="0" w:line="50" w:lineRule="exact"/>
        <w:rPr>
          <w:rFonts w:ascii="Arial" w:cs="Arial" w:eastAsia="Arial" w:hAnsi="Arial"/>
          <w:sz w:val="18"/>
          <w:szCs w:val="18"/>
          <w:color w:val="auto"/>
        </w:rPr>
      </w:pPr>
    </w:p>
    <w:p>
      <w:pPr>
        <w:ind w:left="880" w:right="160" w:hanging="224"/>
        <w:spacing w:after="0" w:line="255"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9" w:lineRule="exact"/>
        <w:rPr>
          <w:rFonts w:ascii="Arial" w:cs="Arial" w:eastAsia="Arial" w:hAnsi="Arial"/>
          <w:sz w:val="18"/>
          <w:szCs w:val="18"/>
          <w:color w:val="auto"/>
        </w:rPr>
      </w:pPr>
    </w:p>
    <w:p>
      <w:pPr>
        <w:ind w:left="880" w:right="100" w:hanging="224"/>
        <w:spacing w:after="0" w:line="255"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69" w:lineRule="exact"/>
        <w:rPr>
          <w:rFonts w:ascii="Arial" w:cs="Arial" w:eastAsia="Arial" w:hAnsi="Arial"/>
          <w:sz w:val="18"/>
          <w:szCs w:val="18"/>
          <w:color w:val="auto"/>
        </w:rPr>
      </w:pPr>
    </w:p>
    <w:p>
      <w:pPr>
        <w:ind w:left="880" w:right="108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contract manufacturers and critical reagent suppliers may be subject to inclement weather, as well as natural or man-made disasters; and</w:t>
      </w:r>
    </w:p>
    <w:p>
      <w:pPr>
        <w:spacing w:after="0" w:line="50" w:lineRule="exact"/>
        <w:rPr>
          <w:rFonts w:ascii="Arial" w:cs="Arial" w:eastAsia="Arial" w:hAnsi="Arial"/>
          <w:sz w:val="18"/>
          <w:szCs w:val="18"/>
          <w:color w:val="auto"/>
        </w:rPr>
      </w:pPr>
    </w:p>
    <w:p>
      <w:pPr>
        <w:ind w:left="880" w:right="340" w:hanging="224"/>
        <w:spacing w:after="0" w:line="255"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68" w:lineRule="exact"/>
        <w:rPr>
          <w:sz w:val="20"/>
          <w:szCs w:val="20"/>
          <w:color w:val="auto"/>
        </w:rPr>
      </w:pPr>
    </w:p>
    <w:p>
      <w:pPr>
        <w:ind w:left="120" w:right="180"/>
        <w:spacing w:after="0" w:line="285" w:lineRule="auto"/>
        <w:rPr>
          <w:sz w:val="20"/>
          <w:szCs w:val="20"/>
          <w:color w:val="auto"/>
        </w:rPr>
      </w:pPr>
      <w:r>
        <w:rPr>
          <w:rFonts w:ascii="Arial" w:cs="Arial" w:eastAsia="Arial" w:hAnsi="Arial"/>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8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21"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80" w:lineRule="exact"/>
        <w:rPr>
          <w:sz w:val="20"/>
          <w:szCs w:val="20"/>
          <w:color w:val="auto"/>
        </w:rPr>
      </w:pPr>
    </w:p>
    <w:p>
      <w:pPr>
        <w:jc w:val="both"/>
        <w:ind w:left="120" w:right="140"/>
        <w:spacing w:after="0" w:line="260"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1" w:lineRule="exact"/>
        <w:rPr>
          <w:sz w:val="20"/>
          <w:szCs w:val="20"/>
          <w:color w:val="auto"/>
        </w:rPr>
      </w:pPr>
    </w:p>
    <w:p>
      <w:pPr>
        <w:ind w:left="120" w:right="280"/>
        <w:spacing w:after="0" w:line="285" w:lineRule="auto"/>
        <w:rPr>
          <w:sz w:val="20"/>
          <w:szCs w:val="20"/>
          <w:color w:val="auto"/>
        </w:rPr>
      </w:pPr>
      <w:r>
        <w:rPr>
          <w:rFonts w:ascii="Arial" w:cs="Arial" w:eastAsia="Arial" w:hAnsi="Arial"/>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21"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60" w:firstLine="551"/>
        <w:spacing w:after="0" w:line="268"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4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63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0" w:hanging="224"/>
        <w:spacing w:after="0" w:line="248"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5" w:lineRule="exact"/>
        <w:rPr>
          <w:rFonts w:ascii="Arial" w:cs="Arial" w:eastAsia="Arial" w:hAnsi="Arial"/>
          <w:sz w:val="18"/>
          <w:szCs w:val="18"/>
          <w:color w:val="auto"/>
        </w:rPr>
      </w:pPr>
    </w:p>
    <w:p>
      <w:pPr>
        <w:ind w:left="880" w:right="640" w:hanging="224"/>
        <w:spacing w:after="0" w:line="306"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28" w:lineRule="exact"/>
        <w:rPr>
          <w:rFonts w:ascii="Arial" w:cs="Arial" w:eastAsia="Arial" w:hAnsi="Arial"/>
          <w:sz w:val="17"/>
          <w:szCs w:val="17"/>
          <w:color w:val="auto"/>
        </w:rPr>
      </w:pPr>
    </w:p>
    <w:p>
      <w:pPr>
        <w:ind w:left="880" w:right="4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50"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9"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9"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45"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7"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21"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We may seek, in the future,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We would face significant competition in seeking appropriate collaborators and the negotiation process is time-consuming and complex. Whether we reach a definitive agreement for a collaboration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80" w:lineRule="exact"/>
        <w:rPr>
          <w:sz w:val="20"/>
          <w:szCs w:val="20"/>
          <w:color w:val="auto"/>
        </w:rPr>
      </w:pPr>
    </w:p>
    <w:p>
      <w:pPr>
        <w:jc w:val="both"/>
        <w:ind w:left="120" w:right="280" w:firstLine="551"/>
        <w:spacing w:after="0" w:line="277" w:lineRule="auto"/>
        <w:rPr>
          <w:sz w:val="20"/>
          <w:szCs w:val="20"/>
          <w:color w:val="auto"/>
        </w:rPr>
      </w:pPr>
      <w:r>
        <w:rPr>
          <w:rFonts w:ascii="Arial" w:cs="Arial" w:eastAsia="Arial" w:hAnsi="Arial"/>
          <w:sz w:val="17"/>
          <w:szCs w:val="17"/>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7"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and when we seek to enter into collaborations in the future,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2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288" w:lineRule="exact"/>
        <w:rPr>
          <w:sz w:val="20"/>
          <w:szCs w:val="20"/>
          <w:color w:val="auto"/>
        </w:rPr>
      </w:pPr>
    </w:p>
    <w:p>
      <w:pPr>
        <w:ind w:left="120" w:right="1200"/>
        <w:spacing w:after="0" w:line="28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69"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increased operating expenses and cash requirements;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4" w:lineRule="exact"/>
        <w:rPr>
          <w:sz w:val="20"/>
          <w:szCs w:val="20"/>
          <w:color w:val="auto"/>
        </w:rPr>
      </w:pPr>
    </w:p>
    <w:p>
      <w:pPr>
        <w:ind w:left="120" w:right="60"/>
        <w:spacing w:after="0" w:line="282" w:lineRule="auto"/>
        <w:rPr>
          <w:sz w:val="20"/>
          <w:szCs w:val="20"/>
          <w:color w:val="auto"/>
        </w:rPr>
      </w:pPr>
      <w:r>
        <w:rPr>
          <w:rFonts w:ascii="Arial" w:cs="Arial" w:eastAsia="Arial" w:hAnsi="Arial"/>
          <w:sz w:val="17"/>
          <w:szCs w:val="17"/>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26"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294"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proprietary technologies and our product candidates. These candidates include PC14586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74" w:lineRule="exact"/>
        <w:rPr>
          <w:sz w:val="20"/>
          <w:szCs w:val="20"/>
          <w:color w:val="auto"/>
        </w:rPr>
      </w:pPr>
    </w:p>
    <w:p>
      <w:pPr>
        <w:ind w:left="120" w:right="180" w:firstLine="551"/>
        <w:spacing w:after="0" w:line="277"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5" w:right="4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8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77"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455" w:right="5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306" w:lineRule="auto"/>
        <w:rPr>
          <w:sz w:val="20"/>
          <w:szCs w:val="20"/>
          <w:color w:val="auto"/>
        </w:rPr>
      </w:pPr>
      <w:r>
        <w:rPr>
          <w:rFonts w:ascii="Arial" w:cs="Arial" w:eastAsia="Arial" w:hAnsi="Arial"/>
          <w:sz w:val="17"/>
          <w:szCs w:val="17"/>
          <w:color w:val="auto"/>
        </w:rPr>
        <w:t>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23"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177"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color w:val="auto"/>
        </w:rPr>
        <w:t>patent portfolio may not provide us with sufficient rights to exclude others from commercializing products similar or identical to ours or otherwise provide us with a competitive advantage.</w:t>
      </w:r>
    </w:p>
    <w:p>
      <w:pPr>
        <w:spacing w:after="0" w:line="145"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79"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17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4" w:lineRule="exact"/>
        <w:rPr>
          <w:sz w:val="20"/>
          <w:szCs w:val="20"/>
          <w:color w:val="auto"/>
        </w:rPr>
      </w:pPr>
    </w:p>
    <w:p>
      <w:pPr>
        <w:ind w:left="120" w:right="660"/>
        <w:spacing w:after="0" w:line="285" w:lineRule="auto"/>
        <w:rPr>
          <w:sz w:val="20"/>
          <w:szCs w:val="20"/>
          <w:color w:val="auto"/>
        </w:rPr>
      </w:pPr>
      <w:r>
        <w:rPr>
          <w:rFonts w:ascii="Arial" w:cs="Arial" w:eastAsia="Arial" w:hAnsi="Arial"/>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7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may be required to protect our patents through procedures created to attack the validity of a patent at the USPTO. The USPTO hears post-grant proceedings, including PGR,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20"/>
        <w:spacing w:after="0" w:line="276" w:lineRule="auto"/>
        <w:rPr>
          <w:sz w:val="20"/>
          <w:szCs w:val="20"/>
          <w:color w:val="auto"/>
        </w:rPr>
      </w:pPr>
      <w:r>
        <w:rPr>
          <w:rFonts w:ascii="Arial" w:cs="Arial" w:eastAsia="Arial" w:hAnsi="Arial"/>
          <w:sz w:val="18"/>
          <w:szCs w:val="18"/>
          <w:color w:val="auto"/>
        </w:rPr>
        <w:t>or defense of our issued patents, all of which could have a material adverse effect on our business, financial condition, results of operations and prospects.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18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88"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5" w:right="5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84"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 suits will be costly and time consuming, and an unfavorable outcome in that litigation would have a material adverse effect on our business.</w:t>
      </w:r>
    </w:p>
    <w:p>
      <w:pPr>
        <w:spacing w:after="0" w:line="4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0"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79" w:lineRule="exact"/>
        <w:rPr>
          <w:sz w:val="20"/>
          <w:szCs w:val="20"/>
          <w:color w:val="auto"/>
        </w:rPr>
      </w:pPr>
    </w:p>
    <w:p>
      <w:pPr>
        <w:ind w:left="120" w:right="340" w:firstLine="551"/>
        <w:spacing w:after="0" w:line="277" w:lineRule="auto"/>
        <w:rPr>
          <w:sz w:val="20"/>
          <w:szCs w:val="20"/>
          <w:color w:val="auto"/>
        </w:rPr>
      </w:pPr>
      <w:r>
        <w:rPr>
          <w:rFonts w:ascii="Arial" w:cs="Arial" w:eastAsia="Arial" w:hAnsi="Arial"/>
          <w:sz w:val="17"/>
          <w:szCs w:val="17"/>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147"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3" w:lineRule="auto"/>
        <w:rPr>
          <w:sz w:val="20"/>
          <w:szCs w:val="20"/>
          <w:color w:val="auto"/>
        </w:rPr>
      </w:pPr>
      <w:r>
        <w:rPr>
          <w:rFonts w:ascii="Arial" w:cs="Arial" w:eastAsia="Arial" w:hAnsi="Arial"/>
          <w:sz w:val="17"/>
          <w:szCs w:val="17"/>
          <w:color w:val="auto"/>
        </w:rPr>
        <w:t>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157"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82"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21"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4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5" w:right="4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87"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7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85"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45"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6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7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04"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“Risk Factors” section and elsewhere in this prospectus, these factors include:</w:t>
      </w:r>
    </w:p>
    <w:p>
      <w:pPr>
        <w:spacing w:after="0" w:line="69"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ongoing, planned or any future preclinical studies, clinical trials or clinical development programs;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commencement, enrollment, or results of clinical trials of our product candidates or any future clinical trials we may conduct, or changes in the development status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results or delays in preclinical studies and clinical trials;</w:t>
      </w:r>
    </w:p>
    <w:p>
      <w:pPr>
        <w:spacing w:after="0" w:line="117"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delay in our regulatory filings or any adverse regulatory decisions, including failure to receive regulatory approval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including but not limited to clinical trial requirements for approvals;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manufacturing plans;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licensed product or inability to do so at acceptable prices;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size and growth of our initial cancer target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successfully treat additional types of cancers or at different stages;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immunotherapy in particular, or positive or negative recommendations or withdrawal of research coverage by securities analysts;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expiration of lock-up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or other developments relating to intellectual property or proprietary rights, including patents, litigation matters and our ability to obtain patent protection for our technologies;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the impending presidential election in the United States in 2020;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2"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4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addition, broad market and industry factors may negatively affect the market price of our common stock, regardless of our actual operating performance. If the market price of our common stock after this offering does not exceed the initial public offering price, you may not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auto"/>
        </w:rPr>
        <w:t>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7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Prior to this offering, no public market for shares of our common stock existed and an active trading market for our common stock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84"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8"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2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21"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42,999,310 outstanding shares of common stock, based on the number of shares outstanding as of June 30, 2020, assuming: (1) no exercise of the underwriters’ option to purchase additional shares, (2) the conversion of all outstanding shares of our convertible preferred stock as of June 30, 2020 into 22,866,246 shares of common stock immediately prior to the completion of this offering and (3) the conversion of our Series D convertible preferred stock issued and sold in July 2020 into 5,321,864 shares of common stock immediately prior to the completion of this offering. This includes the shares that we sell in this offering, which may be resold in the public market immediately without restriction, unless purchased by our affiliates. Of the remaining shares, 31,234,310 shares of our common stock are currently restricted as a result of securities laws or lock-up agreements but will be able to be sold after this offering as described in the “Shares Eligible for Future Sale” section of this prospectus. Moreover, after this offering, holders of an aggregate of 28,198,910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188"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executive officers, directors and the holders of substantially all of our capital stock and securities convertible into or exchangeable for our capital stock have entered into lock-up agreements with the underwriters under which they have agreed, subject to specific exceptions described in the section titled “Underwriting,” not to sell, directly or indirectly, any shares of common stock without the permission of the underwriters for a period of 180 days following the date of this prospectus. We refer to such period as the lock-up period. When the lock-up period expires, we and our securityholders subject to a lock-up agreement will be able to sell our shares in the public market. In addition, the underwriters may, in their sole discretion, release all or some portion of the shares subject to lock-up agreements at any time and for any reason. See the description of the lock-up agreement with the underwriters in the section of this prospectus titled “Shares Eligible for Future Sale” for more information.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88" w:lineRule="exact"/>
        <w:rPr>
          <w:sz w:val="20"/>
          <w:szCs w:val="20"/>
          <w:color w:val="auto"/>
        </w:rPr>
      </w:pPr>
    </w:p>
    <w:p>
      <w:pPr>
        <w:ind w:left="120" w:right="560"/>
        <w:spacing w:after="0" w:line="28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Prior to this offering, our executive officers, directors, holders of 5% or more of our capital stock and their respective affiliates beneficially owned approximately 72.9% of our voting stock and, upon the closing of this offering, that same group will beneficially own approximately 53.7% of our outstanding voting stock (based on the number of shares of common stock outstanding as of August 31, 2020 assuming no exercise of the underwriters’ option to purchase additional shares, no exercise of outstanding options or the warrant and no purchases of shares in this offering by any of this group), in each case assuming the conversion of all outstanding shares of our convertible preferred stock into shares of our common stock immediately prior to the closing of this offering. Certain of our directors are affiliated with the holders of 5% or more of our capital stock. In particular, Arnold Oronsky, Ph.D. is an affiliate of InterWest Partners X, L.P., Peter Thompson, M.D. is an affiliate of OrbiMed Private Investments V LP and Thilo Schroeder is an affiliate Nextech V Oncology S.C.S., SIACAV-SIF, as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indicated in the “Principal Stockholders” section.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7"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21"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2020, as amended, or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9" w:lineRule="exact"/>
        <w:rPr>
          <w:sz w:val="20"/>
          <w:szCs w:val="20"/>
          <w:color w:val="auto"/>
        </w:rPr>
      </w:pPr>
    </w:p>
    <w:p>
      <w:pPr>
        <w:ind w:left="880" w:right="200" w:hanging="224"/>
        <w:spacing w:after="0" w:line="255"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69"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Sarbanes-Oxley Act;</w:t>
      </w:r>
    </w:p>
    <w:p>
      <w:pPr>
        <w:spacing w:after="0" w:line="50" w:lineRule="exact"/>
        <w:rPr>
          <w:rFonts w:ascii="Arial" w:cs="Arial" w:eastAsia="Arial" w:hAnsi="Arial"/>
          <w:sz w:val="18"/>
          <w:szCs w:val="18"/>
          <w:color w:val="auto"/>
        </w:rPr>
      </w:pPr>
    </w:p>
    <w:p>
      <w:pPr>
        <w:ind w:left="880" w:right="300" w:hanging="224"/>
        <w:spacing w:after="0" w:line="255"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9"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and proxy statements; and</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45"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7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72" w:lineRule="exact"/>
        <w:rPr>
          <w:sz w:val="20"/>
          <w:szCs w:val="20"/>
          <w:color w:val="auto"/>
        </w:rPr>
      </w:pPr>
    </w:p>
    <w:p>
      <w:pPr>
        <w:ind w:left="120" w:right="200"/>
        <w:spacing w:after="0" w:line="285"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Securities Exchange Act of 1934, as amended, or Exchange Act, which will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04"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be relying on the judgment of our management regarding the application of these proceeds. You will not have the opportunity, as part of your investment decision, to assess whether the net proceeds are being used appropriately. Our management might not apply the net proceeds in ways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ultimately increase or maintain the value of your investment. If we do not invest or apply the net proceeds from this offering in ways that enhance stockholder value, we may fail to achieve expected financial results, which could cause our stock price to decline.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the value of our stock.</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80"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43"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upon closing of this offering, will contain provisions that could delay or prevent a change of control of our company or changes in our board of directors that our stockholders might consider favorable. These provisions will, among other things:</w:t>
      </w:r>
    </w:p>
    <w:p>
      <w:pPr>
        <w:spacing w:after="0" w:line="69"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80" w:right="98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12" w:lineRule="exact"/>
        <w:rPr>
          <w:sz w:val="20"/>
          <w:szCs w:val="20"/>
          <w:color w:val="auto"/>
        </w:rPr>
      </w:pPr>
    </w:p>
    <w:p>
      <w:pPr>
        <w:ind w:left="120" w:right="160" w:firstLine="551"/>
        <w:spacing w:after="0" w:line="268" w:lineRule="auto"/>
        <w:rPr>
          <w:sz w:val="20"/>
          <w:szCs w:val="20"/>
          <w:color w:val="auto"/>
        </w:rPr>
      </w:pPr>
      <w:r>
        <w:rPr>
          <w:rFonts w:ascii="Arial" w:cs="Arial" w:eastAsia="Arial" w:hAnsi="Arial"/>
          <w:sz w:val="17"/>
          <w:szCs w:val="17"/>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5" w:right="5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72"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amended and restated bylaws that will become effective upon the closing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9"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2"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45"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21"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145"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In addition, as permitted by Section 145 of the DGCL, our amended and restated bylaws to be effective immediately prior to the completion of this offering and our indemnification agreements that we have entered into with our directors and officers will provide that:</w:t>
      </w:r>
    </w:p>
    <w:p>
      <w:pPr>
        <w:spacing w:after="0" w:line="28" w:lineRule="exact"/>
        <w:rPr>
          <w:sz w:val="20"/>
          <w:szCs w:val="20"/>
          <w:color w:val="auto"/>
        </w:rPr>
      </w:pPr>
    </w:p>
    <w:p>
      <w:pPr>
        <w:ind w:left="880" w:hanging="224"/>
        <w:spacing w:after="0" w:line="245"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7"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50"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69"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9" w:lineRule="exact"/>
        <w:rPr>
          <w:rFonts w:ascii="Arial" w:cs="Arial" w:eastAsia="Arial" w:hAnsi="Arial"/>
          <w:sz w:val="18"/>
          <w:szCs w:val="18"/>
          <w:color w:val="auto"/>
        </w:rPr>
      </w:pPr>
    </w:p>
    <w:p>
      <w:pPr>
        <w:ind w:left="880" w:right="220" w:hanging="224"/>
        <w:spacing w:after="0" w:line="306" w:lineRule="auto"/>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28" w:lineRule="exact"/>
        <w:rPr>
          <w:rFonts w:ascii="Arial" w:cs="Arial" w:eastAsia="Arial" w:hAnsi="Arial"/>
          <w:sz w:val="17"/>
          <w:szCs w:val="17"/>
          <w:color w:val="auto"/>
        </w:rPr>
      </w:pPr>
    </w:p>
    <w:p>
      <w:pPr>
        <w:ind w:left="880" w:right="70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4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25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43"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After this offering, we will be subject to Section 404 of the Sarbanes-Oxley Act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We will also be required to disclose changes made in our internal controls and procedures on a quarterly basis. However, for so long as we remain an emerging growth company as defined in the JOBS Act, we intend to take advantage of certain exemptions from various reporting requirements that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 An independent assessment of the effectiveness of our internal controls over financial reporting could detect problems that our management’s assessment might not.</w:t>
      </w:r>
    </w:p>
    <w:p>
      <w:pPr>
        <w:spacing w:after="0" w:line="17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 Inferior internal controls could also cause investors to lose confidence in our reported financial information, which could have a material adverse effect on the trading price of our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left="120" w:right="140" w:firstLine="551"/>
        <w:spacing w:after="0" w:line="243" w:lineRule="auto"/>
        <w:rPr>
          <w:sz w:val="20"/>
          <w:szCs w:val="20"/>
          <w:color w:val="auto"/>
        </w:rPr>
      </w:pPr>
      <w:r>
        <w:rPr>
          <w:rFonts w:ascii="Arial" w:cs="Arial" w:eastAsia="Arial" w:hAnsi="Arial"/>
          <w:sz w:val="18"/>
          <w:szCs w:val="18"/>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After the completion of this offering, we may be at an increased risk of securities class action litigation, which is expensive and could divert management attention.</w:t>
      </w:r>
    </w:p>
    <w:p>
      <w:pPr>
        <w:spacing w:after="0" w:line="21" w:lineRule="exact"/>
        <w:rPr>
          <w:sz w:val="20"/>
          <w:szCs w:val="20"/>
          <w:color w:val="auto"/>
        </w:rPr>
      </w:pPr>
    </w:p>
    <w:p>
      <w:pPr>
        <w:jc w:val="both"/>
        <w:ind w:left="120" w:right="60" w:firstLine="551"/>
        <w:spacing w:after="0" w:line="245"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80" w:lineRule="exact"/>
        <w:rPr>
          <w:sz w:val="20"/>
          <w:szCs w:val="20"/>
          <w:color w:val="auto"/>
        </w:rPr>
      </w:pPr>
    </w:p>
    <w:p>
      <w:pPr>
        <w:ind w:left="120" w:right="220"/>
        <w:spacing w:after="0" w:line="28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21" w:lineRule="exact"/>
        <w:rPr>
          <w:sz w:val="20"/>
          <w:szCs w:val="20"/>
          <w:color w:val="auto"/>
        </w:rPr>
      </w:pPr>
    </w:p>
    <w:p>
      <w:pPr>
        <w:ind w:left="120" w:right="500" w:firstLine="551"/>
        <w:spacing w:after="0" w:line="276"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70" w:lineRule="exact"/>
        <w:rPr>
          <w:sz w:val="20"/>
          <w:szCs w:val="20"/>
          <w:color w:val="auto"/>
        </w:rPr>
      </w:pPr>
    </w:p>
    <w:p>
      <w:pPr>
        <w:ind w:left="120" w:right="120" w:firstLine="551"/>
        <w:spacing w:after="0" w:line="268"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53"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50" w:lineRule="exact"/>
        <w:rPr>
          <w:sz w:val="20"/>
          <w:szCs w:val="20"/>
          <w:color w:val="auto"/>
        </w:rPr>
      </w:pPr>
    </w:p>
    <w:p>
      <w:pPr>
        <w:ind w:left="880" w:right="6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future product candidates, or competing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demand for our future product candidates, if approved, which may fluctuate significantly and be difficult to predict;</w:t>
      </w:r>
    </w:p>
    <w:p>
      <w:pPr>
        <w:spacing w:after="0" w:line="117"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inside and outside of the United States, either independently or working with third parties;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establish and maintain future collaborations, licensing or other arrangements;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5" w:right="4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87"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21"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initial public offering price will be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 purchasing common stock in this offering will incur immediate dilution of approximately $9.17 per share, representing the difference between the assumed initial public offering price of $ 17.00 per share, which is the midpoint of the estimated offering price range set forth on the cover page of this prospectus, after deducting the estimated underwriting discounts and commissions and estimated offering expenses payable by us, and our pro forma as adjusted net tangible book value per share as of June 30, 2020, after giving effect to this offering and the automatic conversion of all outstanding shares of our convertible preferred stock immediately prior to the closing of this offering. As of June 30, 2020, there were 3,922,612 shares subject to outstanding options with a weighted-average exercise price of $2.66 per share. To the extent these outstanding securities are ultimately exercised, investors purchasing common stock in this offering will incur further dilution. See “Dilution” for a more detailed description of the dilution to new investors in the offering. For a further description of the dilution that you will experience immediately after this offering, see the section titled “Dilution.”</w:t>
      </w:r>
    </w:p>
    <w:p>
      <w:pPr>
        <w:spacing w:after="0" w:line="291" w:lineRule="exact"/>
        <w:rPr>
          <w:sz w:val="20"/>
          <w:szCs w:val="20"/>
          <w:color w:val="auto"/>
        </w:rPr>
      </w:pPr>
    </w:p>
    <w:p>
      <w:pPr>
        <w:ind w:left="120" w:right="620"/>
        <w:spacing w:after="0" w:line="285"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21"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9"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In some cases, you can identify forward-looking statements by terms such as “may,”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52" w:lineRule="exact"/>
        <w:rPr>
          <w:sz w:val="20"/>
          <w:szCs w:val="20"/>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anticipated use of our existing cash, cash equivalents and short-term marketable securities and the proceeds from this offering;</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any clinical trials and, investigational new drug application, or IND, and other regulatory submissions;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estimates of the number of patients expected to have certain p53 mutants and the number of participants that will enroll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5" w:right="49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special designations, such as orphan drug designation, for our product candidates;</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the ongoing COVID-19 pandemic or other related disruptions on our business; and</w:t>
      </w:r>
    </w:p>
    <w:p>
      <w:pPr>
        <w:spacing w:after="0" w:line="117"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as amended.</w:t>
      </w:r>
    </w:p>
    <w:p>
      <w:pPr>
        <w:spacing w:after="0" w:line="145"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0"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2" w:lineRule="exact"/>
        <w:rPr>
          <w:sz w:val="20"/>
          <w:szCs w:val="20"/>
          <w:color w:val="auto"/>
        </w:rPr>
      </w:pPr>
    </w:p>
    <w:p>
      <w:pPr>
        <w:ind w:left="120" w:right="480" w:firstLine="551"/>
        <w:spacing w:after="0" w:line="24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5"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We estimate that the net proceeds to us from the sale of the shares of our common stock in this offering will be approximately $182.6 million, or approximately $ 210.5 million if the underwriters exercise their option to purchase additional shares in full, based upon the assumed initial public offering price of $17.00 per share, which is the midpoint of the estimated offering price range set forth on the cover page of this prospectus, and after deducting estimated underwriting discounts and commissions and estimated offering expenses payable by us.</w:t>
      </w:r>
    </w:p>
    <w:p>
      <w:pPr>
        <w:spacing w:after="0" w:line="172"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Each $1.00 increase or decrease in the assumed initial public offering price of $ 17.00 per share would increase or decrease the net proceeds to us from this offering by approximately $10.9 million, assuming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offered by us would increase or decrease the net proceeds to us from this offering by approximately $15.8 million, assuming that the assumed initial public offering price remains the same, and after deducting estimated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accelerate the time at which we will need to seek additional capital.</w:t>
      </w:r>
    </w:p>
    <w:p>
      <w:pPr>
        <w:spacing w:after="0" w:line="168"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facilitate our future access to the public capital markets. We currently anticipate that we will use the net proceeds from this offering, together with our existing cash, cash equivalents and short-term marketable securities, as follows:</w:t>
      </w:r>
    </w:p>
    <w:p>
      <w:pPr>
        <w:spacing w:after="0" w:line="69"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$50.0 million to fund the Phase 1/2 development of PC14586;</w:t>
      </w:r>
    </w:p>
    <w:p>
      <w:pPr>
        <w:spacing w:after="0" w:line="117"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$20.0 million to support the development of our R273H program, including lead optimization and IND-enabling studies;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$25.0 million for the development of our pipeline discovery programs; and</w:t>
      </w:r>
    </w:p>
    <w:p>
      <w:pPr>
        <w:spacing w:after="0" w:line="117"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remaining proceeds, if any, for other research and development opportunities, working capital and general corporate purposes.</w:t>
      </w:r>
    </w:p>
    <w:p>
      <w:pPr>
        <w:spacing w:after="0" w:line="145"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Based upon our current operating plan, we believe that the anticipated net proceeds from this offering, together with our existing cash, cash equivalents and short-term marketable securities, will enable us to fund our operating expenses and capital expenditure requirements at least through 2023. We expect that the net proceeds from this offering, together with our existing cash, cash equivalents and short-term marketable securities, will allow us to complete at least the Phase 1 portion of our planned Phase 1/2 trial of PC14586; however, the expected net proceeds of this offering will not be sufficient for us to complete the development and commercialization of our product candidates, and we will need to raise substantial additional capital.</w:t>
      </w:r>
    </w:p>
    <w:p>
      <w:pPr>
        <w:spacing w:after="0" w:line="17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Changing circumstances, some of which may be beyond our control, could cause us to consume capital significantly faster than we currently anticipate, and we may need to seek additional funds sooner than planned. In addition, we believe opportunities may exist from time to time to expand our current business through license or acquisitions of, or investments in, complementary businesses, products or technologies. While we have no current agreements, commitments or understandings for any specific licenses, acquisitions or investments at this time, we may use a portion of the net proceeds for these purposes.</w:t>
      </w: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5"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the amount of cash obtained through our future collaborations, if any, and any unforeseen cash needs.</w:t>
      </w:r>
    </w:p>
    <w:p>
      <w:pPr>
        <w:spacing w:after="0" w:line="17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Pending their uses, we plan to invest the net proceeds of this offering in short-term, interest-bearing, investment-grade instruments, certificates of deposit or direct or guaranteed obligations of the U.S. government.</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5" w:right="4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00"/>
          </w:cols>
          <w:pgMar w:left="320" w:top="455" w:right="7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120" w:right="420" w:firstLine="551"/>
        <w:spacing w:after="0" w:line="276" w:lineRule="auto"/>
        <w:rPr>
          <w:sz w:val="20"/>
          <w:szCs w:val="20"/>
          <w:color w:val="auto"/>
        </w:rPr>
      </w:pPr>
      <w:r>
        <w:rPr>
          <w:rFonts w:ascii="Arial" w:cs="Arial" w:eastAsia="Arial" w:hAnsi="Arial"/>
          <w:sz w:val="18"/>
          <w:szCs w:val="18"/>
          <w:color w:val="auto"/>
        </w:rPr>
        <w:t>The following table sets forth our cash, cash equivalents and short-term marketable securities and capitalization as of June 30, 2020, as follows:</w:t>
      </w:r>
    </w:p>
    <w:p>
      <w:pPr>
        <w:spacing w:after="0" w:line="50"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880" w:hanging="224"/>
        <w:spacing w:after="0" w:line="243"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 pro forma basis to reflect (i) our issuance and sale in July 2020 of an aggregate of 5,321,864 shares of our Series D convertible preferred stock for gross proceeds of $70.0 million, (ii) the conversion of all outstanding shares of our convertible preferred stock, including our Series D convertible preferred stock issued in July 2020, into an aggregate of 28,188,110 shares of common stock, which will occur immediately prior to the completion of this offering, and the resulting reclassification of the convertible preferred stock and (iii) the filing and effectiveness of our amended and restated certificate of incorporation, which will occur immediately prior to the completion of this offering; and</w:t>
      </w:r>
    </w:p>
    <w:p>
      <w:pPr>
        <w:spacing w:after="0" w:line="79"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 pro forma as adjusted basis to further reflect our issuance and sale of 11,765,000 shares of common stock in this offering at the assumed initial public offering price of $17.00 per share, which is the midpoint of the estimated offering price range set forth on the cover page of this prospectus, after deducting estimated underwriting discounts and commissions and estimated offering expenses payable by 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You should read this information in conjunction with our financial statements and the related notes (including Note 7 to our unaudited condensed financial statements as it relates to the calculation of our outstanding shares of common stock) appearing elsewhere in this prospectus, as well as the sections of this prospectus titled “Selected Financial Data” and “Management’s Discussion and Analysis of Financial Condition and Results of Operations.”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As of June 30, 2020</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7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Pro Forma as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Pro Forma</w:t>
            </w:r>
          </w:p>
        </w:tc>
        <w:tc>
          <w:tcPr>
            <w:tcW w:w="1060" w:type="dxa"/>
            <w:vAlign w:val="bottom"/>
            <w:gridSpan w:val="3"/>
          </w:tcPr>
          <w:p>
            <w:pPr>
              <w:ind w:left="80"/>
              <w:spacing w:after="0" w:line="181"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8"/>
          </w:tcPr>
          <w:p>
            <w:pPr>
              <w:jc w:val="center"/>
              <w:ind w:right="30"/>
              <w:spacing w:after="0" w:line="141" w:lineRule="exact"/>
              <w:rPr>
                <w:sz w:val="20"/>
                <w:szCs w:val="20"/>
                <w:color w:val="auto"/>
              </w:rPr>
            </w:pPr>
            <w:r>
              <w:rPr>
                <w:rFonts w:ascii="Arial" w:cs="Arial" w:eastAsia="Arial" w:hAnsi="Arial"/>
                <w:sz w:val="14"/>
                <w:szCs w:val="14"/>
                <w:b w:val="1"/>
                <w:bCs w:val="1"/>
                <w:color w:val="auto"/>
              </w:rPr>
              <w:t>(in thousands, except share and per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 amounts)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86,136</w:t>
            </w: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156,106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338,689</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Convertible preferred stock, $0.00001 par value per share; 22,883,426 shares authorized,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80"/>
              <w:spacing w:after="0" w:line="202" w:lineRule="exact"/>
              <w:rPr>
                <w:sz w:val="20"/>
                <w:szCs w:val="20"/>
                <w:color w:val="auto"/>
              </w:rPr>
            </w:pPr>
            <w:r>
              <w:rPr>
                <w:rFonts w:ascii="Arial" w:cs="Arial" w:eastAsia="Arial" w:hAnsi="Arial"/>
                <w:sz w:val="18"/>
                <w:szCs w:val="18"/>
                <w:color w:val="auto"/>
              </w:rPr>
              <w:t>22,866,246 shares issued and outstanding, actual; no shares authorized, issued or</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168,933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520" w:type="dxa"/>
            <w:vAlign w:val="bottom"/>
          </w:tcPr>
          <w:p>
            <w:pPr>
              <w:ind w:left="360"/>
              <w:spacing w:after="0" w:line="180" w:lineRule="exact"/>
              <w:rPr>
                <w:sz w:val="20"/>
                <w:szCs w:val="20"/>
                <w:color w:val="auto"/>
              </w:rPr>
            </w:pPr>
            <w:r>
              <w:rPr>
                <w:rFonts w:ascii="Arial" w:cs="Arial" w:eastAsia="Arial" w:hAnsi="Arial"/>
                <w:sz w:val="18"/>
                <w:szCs w:val="18"/>
                <w:color w:val="auto"/>
              </w:rPr>
              <w:t>Preferred stock, $0.00001 par value; no shares authorized, issued or outstanding,</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actual; 5,000,000 shares authorized and no shares issued or outstanding, pro</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540"/>
              <w:spacing w:after="0"/>
              <w:rPr>
                <w:sz w:val="20"/>
                <w:szCs w:val="20"/>
                <w:color w:val="auto"/>
              </w:rPr>
            </w:pPr>
            <w:r>
              <w:rPr>
                <w:rFonts w:ascii="Arial" w:cs="Arial" w:eastAsia="Arial" w:hAnsi="Arial"/>
                <w:sz w:val="18"/>
                <w:szCs w:val="18"/>
                <w:color w:val="auto"/>
              </w:rPr>
              <w:t>forma and pro forma as adjusted</w:t>
            </w:r>
          </w:p>
        </w:tc>
        <w:tc>
          <w:tcPr>
            <w:tcW w:w="12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752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Common stock, $0.00001 par value per share; 33,250,829 shares authorized,</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3,046,200 shares issued and outstanding, actual; 1,000,000,000 shares authorized,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31,234,310 shares issued and outstanding, pro forma (unaudited); 1,000,000,000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shares authorized, 42,999,310 shares issued and outstanding, pro forma as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 (unaudited)</w:t>
            </w: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5,648</w:t>
            </w:r>
          </w:p>
        </w:tc>
        <w:tc>
          <w:tcPr>
            <w:tcW w:w="140" w:type="dxa"/>
            <w:vAlign w:val="bottom"/>
          </w:tcPr>
          <w:p>
            <w:pPr>
              <w:spacing w:after="0"/>
              <w:rPr>
                <w:sz w:val="17"/>
                <w:szCs w:val="17"/>
                <w:color w:val="auto"/>
              </w:rPr>
            </w:pPr>
          </w:p>
        </w:tc>
        <w:tc>
          <w:tcPr>
            <w:tcW w:w="15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244,551</w:t>
            </w: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427,134</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(90,661)</w:t>
            </w:r>
          </w:p>
        </w:tc>
        <w:tc>
          <w:tcPr>
            <w:tcW w:w="15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(90,661)</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(90,661)</w:t>
            </w:r>
          </w:p>
        </w:tc>
        <w:tc>
          <w:tcPr>
            <w:tcW w:w="0" w:type="dxa"/>
            <w:vAlign w:val="bottom"/>
          </w:tcPr>
          <w:p>
            <w:pPr>
              <w:spacing w:after="0"/>
              <w:rPr>
                <w:sz w:val="1"/>
                <w:szCs w:val="1"/>
                <w:color w:val="auto"/>
              </w:rPr>
            </w:pPr>
          </w:p>
        </w:tc>
      </w:tr>
      <w:tr>
        <w:trPr>
          <w:trHeight w:val="209"/>
        </w:trPr>
        <w:tc>
          <w:tcPr>
            <w:tcW w:w="752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stockholders’ (deficit) equity</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(85,008)</w:t>
            </w:r>
          </w:p>
        </w:tc>
        <w:tc>
          <w:tcPr>
            <w:tcW w:w="15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153,895</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336,478</w:t>
            </w:r>
          </w:p>
        </w:tc>
        <w:tc>
          <w:tcPr>
            <w:tcW w:w="0" w:type="dxa"/>
            <w:vAlign w:val="bottom"/>
          </w:tcPr>
          <w:p>
            <w:pPr>
              <w:spacing w:after="0"/>
              <w:rPr>
                <w:sz w:val="1"/>
                <w:szCs w:val="1"/>
                <w:color w:val="auto"/>
              </w:rPr>
            </w:pPr>
          </w:p>
        </w:tc>
      </w:tr>
      <w:tr>
        <w:trPr>
          <w:trHeight w:val="210"/>
        </w:trPr>
        <w:tc>
          <w:tcPr>
            <w:tcW w:w="752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83,925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153,895</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9" w:lineRule="exact"/>
        <w:rPr>
          <w:sz w:val="20"/>
          <w:szCs w:val="20"/>
          <w:color w:val="auto"/>
        </w:rPr>
      </w:pPr>
    </w:p>
    <w:p>
      <w:pPr>
        <w:ind w:left="660" w:right="20" w:hanging="544"/>
        <w:spacing w:after="0" w:line="229" w:lineRule="auto"/>
        <w:tabs>
          <w:tab w:leader="none" w:pos="66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Each $1.00 increase or decrease in the assumed initial public offering price of $17.00 per share, which is the midpoint of the estimated offering price range set forth on the cover page of this prospectus, would increase or decrease, as applicable, our pro forma as adjusted cash, cash equivalents and short-term marketable securities, additional paid-in capital, total stockholders’ equity and total capitalization by approximately $10.9 million, assuming that the number of shares of common stock offered by us, as set forth on the cover page of this prospectus, remains the same, and after deducting estimated underwriting discounts and commissions and estimated offering expenses payable by us. Each increase or decrease of 1.0 million shares in the number of shares of common stock offered by us would increase or decrease, as applicable, our pro forma as adjusted cash, cash equivalents and short-term marketable securities, additional paid-in capital, total stockholders’ equity and total capitalization by approximately $15.8 million, assuming the assumed initial public offering price of $17.00 per share, which is the midpoint of the estimated offering price range set forth on the cover page of this prospectus, remains the same, and after deducting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25,912,446 shares of our common stock outstanding as of June 30, 2020 (including an aggregate of 22,866,246 shares of common stock issuable upon conversion of our outstanding convertible preferred stock as of June 30, 2020), plus 5,321,864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880" w:hanging="224"/>
        <w:spacing w:after="0" w:line="276"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3,922,612 shares of common stock issuable upon exercise of options to purchase shares of our common stock outstanding as of June 30, 2020, with a weighted-average exercise price of $2.66 per share;</w:t>
      </w:r>
    </w:p>
    <w:p>
      <w:pPr>
        <w:spacing w:after="0" w:line="50" w:lineRule="exact"/>
        <w:rPr>
          <w:rFonts w:ascii="Arial" w:cs="Arial" w:eastAsia="Arial" w:hAnsi="Arial"/>
          <w:sz w:val="18"/>
          <w:szCs w:val="18"/>
          <w:color w:val="auto"/>
        </w:rPr>
      </w:pPr>
    </w:p>
    <w:p>
      <w:pPr>
        <w:ind w:left="880" w:right="280" w:hanging="224"/>
        <w:spacing w:after="0" w:line="276"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149,472 shares of common stock issuable upon exercise of options to purchase shares of our common stock that we granted after June 30, 2020, with a weighted-average exercise price of $8.53 per share;</w:t>
      </w:r>
    </w:p>
    <w:p>
      <w:pPr>
        <w:spacing w:after="0" w:line="50" w:lineRule="exact"/>
        <w:rPr>
          <w:rFonts w:ascii="Arial" w:cs="Arial" w:eastAsia="Arial" w:hAnsi="Arial"/>
          <w:sz w:val="18"/>
          <w:szCs w:val="18"/>
          <w:color w:val="auto"/>
        </w:rPr>
      </w:pPr>
    </w:p>
    <w:p>
      <w:pPr>
        <w:ind w:left="880" w:right="120" w:hanging="224"/>
        <w:spacing w:after="0" w:line="255"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warrant to purchase an aggregate of 10,800 shares of our Series Seed convertible preferred stock outstanding as of June 30, 2020 that will be converted into a warrant to purchase an aggregate of 10,800 shares of our common stock, with an exercise price of $1.8518 per share, upon the completion of this offering;</w:t>
      </w:r>
    </w:p>
    <w:p>
      <w:pPr>
        <w:spacing w:after="0" w:line="69"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4,406,374 shares of common stock reserved for future issuance under our 2020 Equity Incentive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5"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400,752 shares of common stock reserved for issuance under our 2020 Employee Stock Purchase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jc w:val="both"/>
        <w:ind w:left="120" w:right="40" w:firstLine="551"/>
        <w:spacing w:after="0" w:line="255"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6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Our historical net tangible book value (deficit) as of June 30, 2020 was approximately $(85.0) million or $ (27.90) per share of our common stock. Our historical net tangible book value (deficit) is the amount of our total tangible assets less our total liabilities and convertible preferred stock. Historical net tangible book value (deficit) per share represents historical net tangible book value (deficit) divided by the number of shares of our common stock outstanding as of June 30, 2020.</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pro forma net tangible book value (deficit) as of June 30, 2020 was approximately $153.9 million, or $4.93 per share of our common stock. Pro forma net tangible book value (deficit) represents the amount of our total tangible assets less our total liabilities. Pro forma net tangible book value (deficit) per share represents pro forma net tangible book value divided by the total number of shares of our common stock outstanding as of June 30, 2020, after giving effect to (i) the conversion of all shares of our convertible preferred stock outstanding as of June 30, 2020 into an aggregate of 22,866,246 shares of our common stock, which will occur immediately prior to the completion of this offering and (ii) the issuance and sale of 5,321,864 shares of our Series D convertible preferred stock in July 2020 for gross proceeds of $ 70.0 million, and the conversion of such shares into 5,321,864 shares of our common stock, which will occur immediately prior to the completion of this offering.</w:t>
      </w:r>
    </w:p>
    <w:p>
      <w:pPr>
        <w:spacing w:after="0" w:line="180" w:lineRule="exact"/>
        <w:rPr>
          <w:sz w:val="20"/>
          <w:szCs w:val="20"/>
          <w:color w:val="auto"/>
        </w:rPr>
      </w:pPr>
    </w:p>
    <w:p>
      <w:pPr>
        <w:ind w:left="120" w:right="60" w:firstLine="551"/>
        <w:spacing w:after="0" w:line="260" w:lineRule="auto"/>
        <w:rPr>
          <w:sz w:val="20"/>
          <w:szCs w:val="20"/>
          <w:color w:val="auto"/>
        </w:rPr>
      </w:pPr>
      <w:r>
        <w:rPr>
          <w:rFonts w:ascii="Arial" w:cs="Arial" w:eastAsia="Arial" w:hAnsi="Arial"/>
          <w:sz w:val="17"/>
          <w:szCs w:val="17"/>
          <w:color w:val="auto"/>
        </w:rPr>
        <w:t>After giving further effect to our sale of 11,765,000 shares of common stock in this offering at the assumed initial public offering price of $17.00 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 of June 30, 2020 would have been approximately $336.5 million, or $7.83 per share. This represents an immediate increase in pro forma as adjusted net tangible book value per share of $2.90 to our existing stockholders and an immediate dilution in pro forma as adjusted net tangible book value per share of $9.17 to new investors purchasing common stock in this offering.</w:t>
      </w:r>
    </w:p>
    <w:p>
      <w:pPr>
        <w:sectPr>
          <w:pgSz w:w="11900" w:h="16838" w:orient="portrait"/>
          <w:cols w:equalWidth="0" w:num="1">
            <w:col w:w="11080"/>
          </w:cols>
          <w:pgMar w:left="320" w:top="455" w:right="499" w:bottom="1440" w:gutter="0" w:footer="0" w:header="0"/>
        </w:sectPr>
      </w:pP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share basis: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Assumed initial 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Historical net tangible book value (deficit) per share as of June 30, 2020</w:t>
      </w:r>
    </w:p>
    <w:p>
      <w:pPr>
        <w:ind w:left="480"/>
        <w:spacing w:after="0"/>
        <w:rPr>
          <w:sz w:val="20"/>
          <w:szCs w:val="20"/>
          <w:color w:val="auto"/>
        </w:rPr>
      </w:pPr>
      <w:r>
        <w:rPr>
          <w:rFonts w:ascii="Arial" w:cs="Arial" w:eastAsia="Arial" w:hAnsi="Arial"/>
          <w:sz w:val="18"/>
          <w:szCs w:val="18"/>
          <w:color w:val="auto"/>
        </w:rPr>
        <w:t>Pro forma increase in net tangible book value (deficit) per share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Pro forma net tangible book value (deficit) per share as of June 30, 2020</w:t>
      </w:r>
    </w:p>
    <w:p>
      <w:pPr>
        <w:spacing w:after="0" w:line="18" w:lineRule="exact"/>
        <w:rPr>
          <w:sz w:val="20"/>
          <w:szCs w:val="20"/>
          <w:color w:val="auto"/>
        </w:rPr>
      </w:pPr>
    </w:p>
    <w:p>
      <w:pPr>
        <w:ind w:left="660" w:hanging="179"/>
        <w:spacing w:after="0" w:line="250" w:lineRule="auto"/>
        <w:rPr>
          <w:sz w:val="20"/>
          <w:szCs w:val="20"/>
          <w:color w:val="auto"/>
        </w:rPr>
      </w:pPr>
      <w:r>
        <w:rPr>
          <w:rFonts w:ascii="Arial" w:cs="Arial" w:eastAsia="Arial" w:hAnsi="Arial"/>
          <w:sz w:val="18"/>
          <w:szCs w:val="18"/>
          <w:color w:val="auto"/>
        </w:rPr>
        <w:t>Increase in pro forma net tangible book value per share attributable to new investors purchasing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-272415</wp:posOffset>
            </wp:positionV>
            <wp:extent cx="6995160" cy="316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53" w:lineRule="exact"/>
        <w:rPr>
          <w:sz w:val="20"/>
          <w:szCs w:val="20"/>
          <w:color w:val="auto"/>
        </w:rPr>
      </w:pPr>
    </w:p>
    <w:p>
      <w:pPr>
        <w:ind w:left="120" w:right="2900"/>
        <w:spacing w:after="0" w:line="339" w:lineRule="auto"/>
        <w:rPr>
          <w:sz w:val="20"/>
          <w:szCs w:val="20"/>
          <w:color w:val="auto"/>
        </w:rPr>
      </w:pPr>
      <w:r>
        <w:rPr>
          <w:rFonts w:ascii="Arial" w:cs="Arial" w:eastAsia="Arial" w:hAnsi="Arial"/>
          <w:sz w:val="17"/>
          <w:szCs w:val="17"/>
          <w:color w:val="auto"/>
        </w:rPr>
        <w:t>Pro forma as adjusted net tangible book value per share after this offering Dilution per share to new investors purchasing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-189865</wp:posOffset>
            </wp:positionV>
            <wp:extent cx="699516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$17.00</w:t>
      </w:r>
    </w:p>
    <w:p>
      <w:pPr>
        <w:spacing w:after="0" w:line="18" w:lineRule="exact"/>
        <w:rPr>
          <w:sz w:val="20"/>
          <w:szCs w:val="20"/>
          <w:color w:val="auto"/>
        </w:rPr>
      </w:pPr>
    </w:p>
    <w:p>
      <w:pPr>
        <w:jc w:val="right"/>
        <w:ind w:left="180" w:right="960" w:hanging="171"/>
        <w:spacing w:after="0" w:line="245" w:lineRule="auto"/>
        <w:rPr>
          <w:sz w:val="20"/>
          <w:szCs w:val="20"/>
          <w:color w:val="auto"/>
        </w:rPr>
      </w:pPr>
      <w:r>
        <w:rPr>
          <w:rFonts w:ascii="Arial" w:cs="Arial" w:eastAsia="Arial" w:hAnsi="Arial"/>
          <w:sz w:val="18"/>
          <w:szCs w:val="18"/>
          <w:color w:val="auto"/>
        </w:rPr>
        <w:t>$(27.90) 32.83</w:t>
      </w:r>
    </w:p>
    <w:p>
      <w:pPr>
        <w:ind w:left="280"/>
        <w:spacing w:after="0"/>
        <w:rPr>
          <w:sz w:val="20"/>
          <w:szCs w:val="20"/>
          <w:color w:val="auto"/>
        </w:rPr>
      </w:pPr>
      <w:r>
        <w:rPr>
          <w:rFonts w:ascii="Arial" w:cs="Arial" w:eastAsia="Arial" w:hAnsi="Arial"/>
          <w:sz w:val="18"/>
          <w:szCs w:val="18"/>
          <w:color w:val="auto"/>
        </w:rPr>
        <w:t>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3943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943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3175</wp:posOffset>
            </wp:positionV>
            <wp:extent cx="3600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$ 9.17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20320</wp:posOffset>
            </wp:positionV>
            <wp:extent cx="3600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8880" w:space="560"/>
            <w:col w:w="1640"/>
          </w:cols>
          <w:pgMar w:left="320" w:top="455" w:right="499" w:bottom="1440" w:gutter="0" w:footer="0" w:header="0"/>
          <w:type w:val="continuous"/>
        </w:sectPr>
      </w:pPr>
    </w:p>
    <w:p>
      <w:pPr>
        <w:ind w:left="120" w:right="80" w:firstLine="551"/>
        <w:spacing w:after="0" w:line="255" w:lineRule="auto"/>
        <w:rPr>
          <w:sz w:val="20"/>
          <w:szCs w:val="20"/>
          <w:color w:val="auto"/>
        </w:rPr>
      </w:pPr>
      <w:r>
        <w:rPr>
          <w:rFonts w:ascii="Arial" w:cs="Arial" w:eastAsia="Arial" w:hAnsi="Arial"/>
          <w:sz w:val="18"/>
          <w:szCs w:val="18"/>
          <w:color w:val="auto"/>
        </w:rPr>
        <w:t>Each $1.00 increase or decrease in the assumed initial public offering price of $17.00 per share, which is the midpoint of the estimated offering price range set forth on the cover page of this prospectus, would increase or decrease, as applicable, the pro forma as adjusted net tangible book value per share after this offering by $0.25 per share and the dilution to new investors purchasing</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5" w:right="49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common stock in this offering by $0.75 per share, assuming the number of shares offered by us, as set forth on the cover page of this prospectus, remains the same, and after deducting estimated underwriting discounts and commissions and estimated offering expenses payable by us. An increase of 1.0 million shares in the number of shares offered by us would increase the pro forma as adjusted net tangible book value per share after this offering by $0.18 and decrease the dilution per share to new investors participating in this offering by $0.18. A decrease of 1.0 million shares in the number of shares offered by us would decrease the pro forma as adjusted net tangible book value per share after this offering by $0.19 and increase the dilution per share to new investors participating in this offering by $ 0.19, assuming the assumed initial public offering price of $17.00 per share, which is the midpoint of the estimated offering price range set forth on the cover page of this prospectus, remains the same, and after deducting estimated underwriting discounts and commissions and estimated offering expenses payable by us.</w:t>
      </w:r>
    </w:p>
    <w:p>
      <w:pPr>
        <w:spacing w:after="0" w:line="176"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the underwriters exercise their option to purchase 1,764,750 additional shares of common stock in this offering in full at the assumed initial public offering price of $17.00 per share, which is the midpoint of the estimated offering price range set forth on the cover of this prospectus, and assuming the number of shares offered by us, as set forth on the cover page of this prospectus, remains the same, and after deducting estimated underwriting discounts and commissions and estimated offering expenses payable by us, the pro forma as adjusted net tangible book value per share after this offering would be $8.14 per share, and the dilution in pro forma as adjusted net tangible book value per share to new investors purchasing common stock in this offering would be $8.86 per share.</w:t>
      </w:r>
    </w:p>
    <w:p>
      <w:pPr>
        <w:spacing w:after="0" w:line="17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The following table summarizes, on a pro forma as adjusted basis, as of June 30, 2020, the number of shares of common stock purchased from us on an as converted to common stock basis, the total consideration paid and the weighted-average price per share paid by existing stockholders and by new investors in this offering at the assumed initial public offering price of $17.00 per share, which is the midpoint of the estimated offering price range set forth on the cover page of this prospectus, before deducting estimated underwriting discounts and commissions and estimated offering expenses payable by us.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06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4"/>
                <w:szCs w:val="14"/>
                <w:color w:val="auto"/>
              </w:rPr>
            </w:pPr>
          </w:p>
        </w:tc>
        <w:tc>
          <w:tcPr>
            <w:tcW w:w="23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Total Consideration</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4"/>
            <w:vMerge w:val="continue"/>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0"/>
        </w:trPr>
        <w:tc>
          <w:tcPr>
            <w:tcW w:w="57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7"/>
        </w:trPr>
        <w:tc>
          <w:tcPr>
            <w:tcW w:w="57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Percent</w:t>
            </w: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31,234,310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72.64%</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$238,750,802</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54.42%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11,765,000</w:t>
            </w:r>
          </w:p>
        </w:tc>
        <w:tc>
          <w:tcPr>
            <w:tcW w:w="260" w:type="dxa"/>
            <w:vAlign w:val="bottom"/>
          </w:tcPr>
          <w:p>
            <w:pPr>
              <w:spacing w:after="0"/>
              <w:rPr>
                <w:sz w:val="17"/>
                <w:szCs w:val="17"/>
                <w:color w:val="auto"/>
              </w:rPr>
            </w:pPr>
          </w:p>
        </w:tc>
        <w:tc>
          <w:tcPr>
            <w:tcW w:w="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27.36</w:t>
            </w:r>
          </w:p>
        </w:tc>
        <w:tc>
          <w:tcPr>
            <w:tcW w:w="15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200,005,000</w:t>
            </w: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45.58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42,999,310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w:t>
            </w:r>
          </w:p>
        </w:tc>
        <w:tc>
          <w:tcPr>
            <w:tcW w:w="15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438,755,802</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table above assumes no exercise of the underwriters’ option to purchase 1,764,750 additional shares in this offering. If the underwriters’ option to purchase additional shares is exercised in full, the number of shares of our common stock held by existing stockholders would be reduced to approximately 69.78% of the total number of shares of our common stock outstanding after this offering, and the number of shares of common stock held by new investors participating in the offering would be increased to approximately 30.22% of the total number of shares outstanding after this offering.</w:t>
      </w:r>
    </w:p>
    <w:p>
      <w:pPr>
        <w:spacing w:after="0" w:line="172"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Each $1.00 increase or decrease in the assumed initial public offering price of $17.00 per share, which is the midpoint of the estimated offering price range set forth on the cover page of this prospectus, would increase or decrease, as applicable, the total consideration paid by new investors by approximately $11.8 million, assuming that the number of shares offered by us, as set forth on the cover page of this prospectus, remains the same. An increase or decrease of 1.0 million shares in the number of shares offered by us would increase or decrease, as applicable, the total consideration</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76" w:lineRule="auto"/>
        <w:rPr>
          <w:sz w:val="20"/>
          <w:szCs w:val="20"/>
          <w:color w:val="auto"/>
        </w:rPr>
      </w:pPr>
      <w:r>
        <w:rPr>
          <w:rFonts w:ascii="Arial" w:cs="Arial" w:eastAsia="Arial" w:hAnsi="Arial"/>
          <w:sz w:val="18"/>
          <w:szCs w:val="18"/>
          <w:color w:val="auto"/>
        </w:rPr>
        <w:t>paid by new investors by approximately $17.0 million, assuming the assumed initial public offering price of $17.00 per share, which is the midpoint of the estimated offering price range set forth on the cover page of this prospectus, remains the same.</w:t>
      </w:r>
    </w:p>
    <w:p>
      <w:pPr>
        <w:spacing w:after="0" w:line="14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25,912,446 shares of our common stock outstanding as of June 30, 2020 (including an aggregate of 22,866,246 shares of common stock issuable upon conversion of our outstanding convertible preferred stock as of June 30, 2020), plus 5,321,864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88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3,922,612 shares of common stock issuable upon exercise of options to purchase shares of our common stock outstanding as of June 30, 2020, with a weighted-average exercise price of $2.66 per share;</w:t>
      </w:r>
    </w:p>
    <w:p>
      <w:pPr>
        <w:spacing w:after="0" w:line="50" w:lineRule="exact"/>
        <w:rPr>
          <w:rFonts w:ascii="Arial" w:cs="Arial" w:eastAsia="Arial" w:hAnsi="Arial"/>
          <w:sz w:val="18"/>
          <w:szCs w:val="18"/>
          <w:color w:val="auto"/>
        </w:rPr>
      </w:pPr>
    </w:p>
    <w:p>
      <w:pPr>
        <w:ind w:left="880" w:right="28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149,472 shares of common stock issuable upon exercise of options to purchase shares of our common stock that we granted after June 30, 2020, with a weighted-average exercise price of $8.53 per share;</w:t>
      </w:r>
    </w:p>
    <w:p>
      <w:pPr>
        <w:spacing w:after="0" w:line="50" w:lineRule="exact"/>
        <w:rPr>
          <w:rFonts w:ascii="Arial" w:cs="Arial" w:eastAsia="Arial" w:hAnsi="Arial"/>
          <w:sz w:val="18"/>
          <w:szCs w:val="18"/>
          <w:color w:val="auto"/>
        </w:rPr>
      </w:pPr>
    </w:p>
    <w:p>
      <w:pPr>
        <w:ind w:left="880" w:right="120" w:hanging="224"/>
        <w:spacing w:after="0" w:line="255"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warrant to purchase an aggregate of 10,800 shares of our Series Seed convertible preferred stock outstanding as of June 30, 2020 that will be converted into a warrant to purchase an aggregate of 10,800 shares of our common stock, with an exercise price of $1.8518 per share, upon the completion of this offering;</w:t>
      </w:r>
    </w:p>
    <w:p>
      <w:pPr>
        <w:spacing w:after="0" w:line="69"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4,406,374 shares of common stock reserved for future issuance under our 2020 Equity Incentive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5"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400,752 shares of common stock reserved for issuance under our 2020 Employee Stock Purchase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To the extent that any outstanding options or the warrant are exercised or new options are issued under the equity benefit plans, or we issue additional shares of common stock or other securities convertible into or exercisable or exchangeable for shares of our capital stock in the future, in each case at per share prices below the price to the public in this offering, there will be further dilution to investors participating in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following tables summarize our selected financial data for the periods and as of the dates indicated. We have derived our selected statements of operations data for the years ended December 31, 2018 and 2019 and the selected balance sheet data as of December 31, 2018 and 2019 from our audited financial statements and related notes included elsewhere in this prospectus. For interim periods, we have derived our selected statements of operations data for the six months ended June 30, 2019 and 2020 and the selected balance sheet data as of June 30, 2020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our expected results for the year ending December 31, 2020. You should read the selected financial data below in conjunction with the section titled “Management’s Discussion and Analysis of Financial Condition and Results of Operations” and our financial statements and related notes included elsewhere in this prospectus. The selected financial data in this section are not intended to replace the financial statements and are qualified in their entirety by the financial statements and related notes included elsewhere in this prospectus.</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5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2"/>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0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Statement of operations data:</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13,853</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20,759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03"/>
        </w:trPr>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5,039</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5,878</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2,676</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18,892</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26,637</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1,341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1,301</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714</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508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(17,535)</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(25,344)</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(12,127)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3"/>
        </w:trPr>
        <w:tc>
          <w:tcPr>
            <w:tcW w:w="5080" w:type="dxa"/>
            <w:vAlign w:val="bottom"/>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(17,538)</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(25,352)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(12,129)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r>
              <w:rPr>
                <w:rFonts w:ascii="Arial" w:cs="Arial" w:eastAsia="Arial" w:hAnsi="Arial"/>
                <w:sz w:val="15"/>
                <w:szCs w:val="15"/>
                <w:color w:val="auto"/>
              </w:rPr>
              <w:t>(1)</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(5.82)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(8.35)</w:t>
            </w:r>
          </w:p>
        </w:tc>
        <w:tc>
          <w:tcPr>
            <w:tcW w:w="5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(4.01)</w:t>
            </w:r>
          </w:p>
        </w:tc>
        <w:tc>
          <w:tcPr>
            <w:tcW w:w="5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08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Weighted-average common shares outstanding — basic and</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3,012,284</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3,035,243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3,024,097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3,046,200</w:t>
            </w:r>
          </w:p>
        </w:tc>
        <w:tc>
          <w:tcPr>
            <w:tcW w:w="0" w:type="dxa"/>
            <w:vAlign w:val="bottom"/>
          </w:tcPr>
          <w:p>
            <w:pPr>
              <w:spacing w:after="0"/>
              <w:rPr>
                <w:sz w:val="1"/>
                <w:szCs w:val="1"/>
                <w:color w:val="auto"/>
              </w:rPr>
            </w:pPr>
          </w:p>
        </w:tc>
      </w:tr>
      <w:tr>
        <w:trPr>
          <w:trHeight w:val="179"/>
        </w:trPr>
        <w:tc>
          <w:tcPr>
            <w:tcW w:w="5080" w:type="dxa"/>
            <w:vAlign w:val="bottom"/>
          </w:tcPr>
          <w:p>
            <w:pPr>
              <w:spacing w:after="0" w:line="179" w:lineRule="exact"/>
              <w:rPr>
                <w:sz w:val="20"/>
                <w:szCs w:val="20"/>
                <w:color w:val="auto"/>
              </w:rPr>
            </w:pPr>
            <w:r>
              <w:rPr>
                <w:rFonts w:ascii="Arial" w:cs="Arial" w:eastAsia="Arial" w:hAnsi="Arial"/>
                <w:sz w:val="18"/>
                <w:szCs w:val="18"/>
                <w:color w:val="auto"/>
              </w:rPr>
              <w:t>Pro forma net loss per share attributable to common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80" w:type="dxa"/>
            <w:vAlign w:val="bottom"/>
          </w:tcPr>
          <w:p>
            <w:pPr>
              <w:ind w:left="180"/>
              <w:spacing w:after="0"/>
              <w:rPr>
                <w:sz w:val="20"/>
                <w:szCs w:val="20"/>
                <w:color w:val="auto"/>
              </w:rPr>
            </w:pPr>
            <w:r>
              <w:rPr>
                <w:rFonts w:ascii="Arial" w:cs="Arial" w:eastAsia="Arial" w:hAnsi="Arial"/>
                <w:sz w:val="18"/>
                <w:szCs w:val="18"/>
                <w:color w:val="auto"/>
              </w:rPr>
              <w:t>stockholders — basic and diluted (unaudited)</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179"/>
        </w:trPr>
        <w:tc>
          <w:tcPr>
            <w:tcW w:w="508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Pro forma weighted-average number of common shares —</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31,223,353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31,234,310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660" w:right="60" w:hanging="544"/>
        <w:spacing w:after="0" w:line="208" w:lineRule="auto"/>
        <w:tabs>
          <w:tab w:leader="none" w:pos="66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and Note 10 to our unaudited condensed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280" w:type="dxa"/>
            <w:vAlign w:val="bottom"/>
          </w:tcPr>
          <w:p>
            <w:pPr>
              <w:spacing w:after="0"/>
              <w:rPr>
                <w:sz w:val="15"/>
                <w:szCs w:val="15"/>
                <w:color w:val="auto"/>
              </w:rPr>
            </w:pPr>
          </w:p>
        </w:tc>
        <w:tc>
          <w:tcPr>
            <w:tcW w:w="26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56"/>
        </w:trPr>
        <w:tc>
          <w:tcPr>
            <w:tcW w:w="72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$ 61,907</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$101,486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86,136</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59,912</w:t>
            </w:r>
          </w:p>
        </w:tc>
        <w:tc>
          <w:tcPr>
            <w:tcW w:w="15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97,570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81,704</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63,458</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103,033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89,102</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2,370</w:t>
            </w:r>
          </w:p>
        </w:tc>
        <w:tc>
          <w:tcPr>
            <w:tcW w:w="15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107,228</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168,933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(50,088)</w:t>
            </w:r>
          </w:p>
        </w:tc>
        <w:tc>
          <w:tcPr>
            <w:tcW w:w="15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(75,440)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(90,661)</w:t>
            </w: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(46,140)</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(70,474)</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660" w:right="200" w:hanging="544"/>
        <w:spacing w:after="0" w:line="195" w:lineRule="auto"/>
        <w:tabs>
          <w:tab w:leader="none" w:pos="66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financial statements included elsewhere in this prospectus and related notes for further details regarding our current assets and current liabilities.</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2"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Financial Data” and the financial statements and related notes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“Risk Factors” and in other parts of this prospectus.</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$ 17.5 million and $25.4 million for the years ended December 31, 2018 and 2019, respectively, and $12.1 million and $15.2 million for the six months ended June 30, 2019 and 2020, respectively. As of June 30, 2020, we had an accumulated deficit of $90.7 million. We do not currently have any product candidates in clinical trials or approved for sale, and we continue to incur significant research and development and general administrative expenses related to our operations.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upon the completion of this offering, we expect to incur additional costs associated with operating as a public company. We expect to continue to incur significant losses for the foreseeable future.</w:t>
      </w:r>
    </w:p>
    <w:p>
      <w:pPr>
        <w:spacing w:after="0" w:line="17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have funded our operations primarily from the issuance and sale of convertible preferred stock. As of June 30, 2020, we had $86.1 million in cash, cash equivalents and short-term marketable securities. We believe that our existing capital resources, including $70.0 million of gross proceeds received from the sale of 5,321,864 shares of our Series D convertible preferred stock in July 2020, will be sufficient to fund our planned operations for at least 12 months following the date of this offering.</w:t>
      </w:r>
    </w:p>
    <w:p>
      <w:pPr>
        <w:spacing w:after="0" w:line="17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depreciation and maintenance of research equipment and an allocation of related facilities costs. We expense research and development costs as they are incurred.</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the cost of services provided by outside contractors and the allocable portions of facility costs and general support services,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60" w:lineRule="auto"/>
        <w:rPr>
          <w:sz w:val="20"/>
          <w:szCs w:val="20"/>
          <w:color w:val="auto"/>
        </w:rPr>
      </w:pPr>
      <w:r>
        <w:rPr>
          <w:rFonts w:ascii="Arial" w:cs="Arial" w:eastAsia="Arial" w:hAnsi="Arial"/>
          <w:sz w:val="17"/>
          <w:szCs w:val="17"/>
          <w:color w:val="auto"/>
        </w:rPr>
        <w:t>services and other consulting fees. Allocated expenses consist of rent expense related to our office and research and development facility. We expect to incur additional expenses as a public company, including expenses related to compliance with the rules and regulations of the Securities and Exchange Commission, and those of any national securities exchange on which our securities are traded, additional insurance expenses, investor relations activities and other administrative and professional services. We expect to increase our headcount significantly to operate as a public company. We also expect to increase our general and administrative expenses as we advance our product candidates through preclinical research and development, manufacturing, clinical development and commercialization.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jc w:val="both"/>
        <w:ind w:left="120" w:right="880" w:firstLine="551"/>
        <w:spacing w:after="0" w:line="306"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33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321"/>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7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auto"/>
            </w:tcBorders>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440" w:type="dxa"/>
            <w:vAlign w:val="bottom"/>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1"/>
              <w:spacing w:after="0" w:line="202" w:lineRule="exact"/>
              <w:rPr>
                <w:sz w:val="20"/>
                <w:szCs w:val="20"/>
                <w:color w:val="auto"/>
              </w:rPr>
            </w:pPr>
            <w:r>
              <w:rPr>
                <w:rFonts w:ascii="Arial" w:cs="Arial" w:eastAsia="Arial" w:hAnsi="Arial"/>
                <w:sz w:val="18"/>
                <w:szCs w:val="18"/>
                <w:color w:val="auto"/>
              </w:rPr>
              <w:t>10,165</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11,760</w:t>
            </w:r>
          </w:p>
        </w:tc>
        <w:tc>
          <w:tcPr>
            <w:tcW w:w="94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$ 1,595</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2,676</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3,979</w:t>
            </w:r>
          </w:p>
        </w:tc>
        <w:tc>
          <w:tcPr>
            <w:tcW w:w="94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7"/>
        </w:trPr>
        <w:tc>
          <w:tcPr>
            <w:tcW w:w="78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1"/>
              <w:spacing w:after="0" w:line="202" w:lineRule="exact"/>
              <w:rPr>
                <w:sz w:val="20"/>
                <w:szCs w:val="20"/>
                <w:color w:val="auto"/>
              </w:rPr>
            </w:pPr>
            <w:r>
              <w:rPr>
                <w:rFonts w:ascii="Arial" w:cs="Arial" w:eastAsia="Arial" w:hAnsi="Arial"/>
                <w:sz w:val="18"/>
                <w:szCs w:val="18"/>
                <w:color w:val="auto"/>
              </w:rPr>
              <w:t>(12,841)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(15,739)</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563</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78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(43)</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520</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9"/>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(12,127)</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(15,219)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left="397"/>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3760" w:type="dxa"/>
            <w:vAlign w:val="bottom"/>
            <w:gridSpan w:val="2"/>
            <w:vMerge w:val="continue"/>
          </w:tcPr>
          <w:p>
            <w:pPr>
              <w:spacing w:after="0"/>
              <w:rPr>
                <w:sz w:val="12"/>
                <w:szCs w:val="12"/>
                <w:color w:val="auto"/>
              </w:rPr>
            </w:pPr>
          </w:p>
        </w:tc>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(unaudited)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w:t>
            </w:r>
          </w:p>
        </w:tc>
        <w:tc>
          <w:tcPr>
            <w:tcW w:w="4140" w:type="dxa"/>
            <w:vAlign w:val="bottom"/>
            <w:gridSpan w:val="2"/>
            <w:shd w:val="clear" w:color="auto" w:fill="CCEEFF"/>
          </w:tcPr>
          <w:p>
            <w:pPr>
              <w:ind w:left="39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4,720</w:t>
            </w: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3,207</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Pre-clinical development</w:t>
            </w:r>
          </w:p>
        </w:tc>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4,593</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Personnel related</w:t>
            </w:r>
          </w:p>
        </w:tc>
        <w:tc>
          <w:tcPr>
            <w:tcW w:w="3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2,718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3,640</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320</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4140" w:type="dxa"/>
            <w:vAlign w:val="bottom"/>
            <w:gridSpan w:val="2"/>
            <w:shd w:val="clear" w:color="auto" w:fill="CCEEFF"/>
          </w:tcPr>
          <w:p>
            <w:pPr>
              <w:ind w:left="39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10,165</w:t>
            </w: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11,760</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$ 1,595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vMerge w:val="restart"/>
          </w:tcPr>
          <w:p>
            <w:pPr>
              <w:jc w:val="right"/>
              <w:ind w:right="1990"/>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Research and development expenses were $10.2 million for the six months ended June 30, 2019, compared to $11.8 million for the six months ended June 30, 2020. The increase of $1.6 million was primarily due to the following:</w:t>
      </w:r>
    </w:p>
    <w:p>
      <w:pPr>
        <w:spacing w:after="0" w:line="50" w:lineRule="exact"/>
        <w:rPr>
          <w:sz w:val="20"/>
          <w:szCs w:val="20"/>
          <w:color w:val="auto"/>
        </w:rPr>
      </w:pPr>
    </w:p>
    <w:p>
      <w:pPr>
        <w:ind w:left="880" w:right="320" w:hanging="224"/>
        <w:spacing w:after="0" w:line="27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was a decrease of $1.5 million in research expense which was driven by a decline in costs from certain of our contract manufacturing initiatives.</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was a $2.0 million increase in our preclinical studies which were primarily associated with increased effort in developing our lead compound PC14586 through IND enabling studies.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was a $0.9 million increase in compensation and employee related expenses, primarily driven by increases in salaries and bonus expense associated with increased headcount for personnel dedicated to developing PC14586.</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was a $0.2 million increase in stock-based compensation expense associated with increased headcount for personnel dedicated to developing PC14586.</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General and administrative expenses were $2.7 million for the six months ended June 30, 2019, compared to $4.0 million for the six months ended June 30, 2020. The increase of $1.3 million was primarily due to the following:</w:t>
      </w:r>
    </w:p>
    <w:p>
      <w:pPr>
        <w:spacing w:after="0" w:line="50" w:lineRule="exact"/>
        <w:rPr>
          <w:sz w:val="20"/>
          <w:szCs w:val="20"/>
          <w:color w:val="auto"/>
        </w:rPr>
      </w:pPr>
    </w:p>
    <w:p>
      <w:pPr>
        <w:ind w:left="880" w:right="80" w:hanging="224"/>
        <w:spacing w:after="0" w:line="255"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was an increase in salary and bonus expense of $0.5 million and an increase in personnel related costs of $0.2 million associated with increased headcount to develop our financial and administrative staff. These increases were partially offset by a decrease in travel and entertainment expense of $0.1 million.</w:t>
      </w:r>
    </w:p>
    <w:p>
      <w:pPr>
        <w:spacing w:after="0" w:line="69"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was a $0.3 million increase in expense for legal services, which is primarily driven by increased legal costs associated with international patent filings in selected countries during the six months ended June 30, 2020.</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was a $0.2 million increase in administrative consulting, primarily associated with increased costs with augmenting our administrative staff.</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8"/>
          <w:szCs w:val="18"/>
          <w:color w:val="auto"/>
        </w:rPr>
        <w:t>Interest income, net was $0.7 million for the six months ended June 30, 2019, compared to $0.6 million for the six months ended June 30, 2020. The decrease of $0.1 million is driven by decreased income from cash investments in marketable securities and U.S treasuries during the six months ended June 30, 2020.</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610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1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6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w w:val="99"/>
              </w:rPr>
              <w:t>$ 13,853</w:t>
            </w:r>
          </w:p>
        </w:tc>
        <w:tc>
          <w:tcPr>
            <w:tcW w:w="94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$ 20,759</w:t>
            </w:r>
          </w:p>
        </w:tc>
        <w:tc>
          <w:tcPr>
            <w:tcW w:w="88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$ 6,906</w:t>
            </w: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5,039</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5,878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81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3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0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(18,892)</w:t>
            </w:r>
          </w:p>
        </w:tc>
        <w:tc>
          <w:tcPr>
            <w:tcW w:w="94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(26,637)</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1,341</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1,301</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0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1,357</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1,293</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3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(17,538</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(25,352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28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w:t>
            </w:r>
          </w:p>
        </w:tc>
        <w:tc>
          <w:tcPr>
            <w:tcW w:w="3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7,516</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9,364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Pre-clinical development</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1,179</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5,811</w:t>
            </w: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Personnel related</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5,282</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314</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302</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13,853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20,759</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Research and development expenses were $13.9 million for the year ended December 31, 2018, compared to $20.8 million for the year ended December 31, 2019. The increase of $6.9 million was primarily due to the following:</w:t>
      </w:r>
    </w:p>
    <w:p>
      <w:pPr>
        <w:spacing w:after="0" w:line="50" w:lineRule="exact"/>
        <w:rPr>
          <w:sz w:val="20"/>
          <w:szCs w:val="20"/>
          <w:color w:val="auto"/>
        </w:rPr>
      </w:pPr>
    </w:p>
    <w:p>
      <w:pPr>
        <w:ind w:left="880" w:right="4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$1.8 million increase in research expense, driven primarily by a $1.3 million increase in outside laboratory analytics, $0.8 million increase in technical consulting, partially offset by a decrease of $0.4 million in scientific contract expense.</w:t>
      </w:r>
    </w:p>
    <w:p>
      <w:pPr>
        <w:spacing w:after="0" w:line="50" w:lineRule="exact"/>
        <w:rPr>
          <w:rFonts w:ascii="Arial" w:cs="Arial" w:eastAsia="Arial" w:hAnsi="Arial"/>
          <w:sz w:val="18"/>
          <w:szCs w:val="18"/>
          <w:color w:val="auto"/>
        </w:rPr>
      </w:pPr>
    </w:p>
    <w:p>
      <w:pPr>
        <w:ind w:left="880" w:right="140" w:hanging="224"/>
        <w:spacing w:after="0" w:line="248"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$4.6 million increase in preclinical development, which was primarily associated with increased effort in developing our lead candidate, PC14586. The $4.6 million increase in preclinical studies is primarily driven by the initiation of an investigational new drug, or IND, enabling study for the Y220C mutation, for which we incurred approximately $2.0 million in expense for the year ended December 31, 2019.</w:t>
      </w:r>
    </w:p>
    <w:p>
      <w:pPr>
        <w:spacing w:after="0" w:line="75"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an $0.4 million increase in expenses for salaries and bonuses, primarily driven by increased headcount for personnel dedicated to developing PC14586.</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General and administrative expenses were $5.0 million for the year ended December 31, 2018, compared to $5.9 million for the year ended December 31, 2019. The increase of $0.9 million was primarily due to the following:</w:t>
      </w:r>
    </w:p>
    <w:p>
      <w:pPr>
        <w:spacing w:after="0" w:line="50" w:lineRule="exact"/>
        <w:rPr>
          <w:sz w:val="20"/>
          <w:szCs w:val="20"/>
          <w:color w:val="auto"/>
        </w:rPr>
      </w:pPr>
    </w:p>
    <w:p>
      <w:pPr>
        <w:ind w:left="880" w:right="580" w:hanging="224"/>
        <w:spacing w:after="0" w:line="27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 $0.4 million increase in expense for employee compensation, driven primarily by increased salary and bonus expense of $0.5 million, partially offset by a decrease in stock-based compensation expense of $0.2 million.</w:t>
      </w:r>
    </w:p>
    <w:p>
      <w:pPr>
        <w:spacing w:after="0" w:line="50" w:lineRule="exact"/>
        <w:rPr>
          <w:rFonts w:ascii="Arial" w:cs="Arial" w:eastAsia="Arial" w:hAnsi="Arial"/>
          <w:sz w:val="18"/>
          <w:szCs w:val="18"/>
          <w:color w:val="auto"/>
        </w:rPr>
      </w:pPr>
    </w:p>
    <w:p>
      <w:pPr>
        <w:ind w:left="880" w:right="860" w:hanging="224"/>
        <w:spacing w:after="0" w:line="255"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 $0.3 million increase in expense for outside services, which is primarily driven by increased legal costs of $0.2 million associated for patent expenses and reviews of contracts executed with third-party contract research and manufacturing organizations during the year ended December 31, 2019.</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 $0.2 million increase associated with facility related expenses during the year ended December 31, 2019.</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 Interest income, net was $1.3 million for the year ended December 31, 2018, compared to $1.3 million for the year ended December 31, 2019. There was no change in interest income, net for the year ended December 31, 2019 and December 31, 2018, due to a decrease in interest income of $0.3 million for the year ended December 31, 2019 compared to the year ended December 31, 2018, which was offset by a decrease of $0.3 million of interest expense for the year ended December 31, 2019 compared to the year ended December 31, 2018.</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left="120" w:firstLine="551"/>
        <w:spacing w:after="0" w:line="258" w:lineRule="auto"/>
        <w:rPr>
          <w:sz w:val="20"/>
          <w:szCs w:val="20"/>
          <w:color w:val="auto"/>
        </w:rPr>
      </w:pPr>
      <w:r>
        <w:rPr>
          <w:rFonts w:ascii="Arial" w:cs="Arial" w:eastAsia="Arial" w:hAnsi="Arial"/>
          <w:sz w:val="17"/>
          <w:szCs w:val="17"/>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June 30, 2020, we had cash, cash equivalents and short-term marketable securities of $86.1 million and an accumulated deficit of $90.7 million. We have financed our operations primarily through issuances of our convertible preferred stock. In 2019, we sold an aggregate of 5,469,606 shares of our Series C convertible preferred stock to accredited investors, generating gross proceeds of $ 61.9 million. In July 2020, we sold an aggregate of 5,321,864 shares of our Series D convertible preferred stock to accredited investors, generating gross proceeds of $70.0 million.</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use our capital resources primarily to fund operating expenses, primarily research and development expenditures. We plan to increase our research and development expenses for the foreseeable future as we continue the preclinical development and move into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20"/>
        <w:spacing w:after="0" w:line="245" w:lineRule="auto"/>
        <w:rPr>
          <w:sz w:val="20"/>
          <w:szCs w:val="20"/>
          <w:color w:val="auto"/>
        </w:rPr>
      </w:pPr>
      <w:r>
        <w:rPr>
          <w:rFonts w:ascii="Arial" w:cs="Arial" w:eastAsia="Arial" w:hAnsi="Arial"/>
          <w:sz w:val="18"/>
          <w:szCs w:val="18"/>
          <w:color w:val="auto"/>
        </w:rPr>
        <w:t>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72"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Due to our significant research and development expenditures, we have generated substantial operating losses in each period since inception. We have incurred an accumulated deficit of $90.7 million through June 30, 2020. We expect to incur substantial additional losses in the future as we expand our research and development activities. Based on our research and development plans, we expect that the net proceeds from this offering, together with our existing cash, cash equivalents and short-term marketable securities, which includes the gross proceeds of approximately $70.0 million from our Series D convertible preferred stock financing, will be sufficient to fund our operations at least through 2023. We have based this estimate on assumptions that may prove to be wrong, however, and we could use our capital resources sooner than we expect.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ability to maintain future licenses and research and development programs and to establish new collaboration arrangements;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45" w:lineRule="exact"/>
        <w:rPr>
          <w:sz w:val="20"/>
          <w:szCs w:val="20"/>
          <w:color w:val="auto"/>
        </w:rPr>
      </w:pPr>
    </w:p>
    <w:p>
      <w:pPr>
        <w:ind w:left="120" w:right="240" w:firstLine="551"/>
        <w:spacing w:after="0" w:line="239" w:lineRule="auto"/>
        <w:rPr>
          <w:sz w:val="20"/>
          <w:szCs w:val="20"/>
          <w:color w:val="auto"/>
        </w:rPr>
      </w:pPr>
      <w:r>
        <w:rPr>
          <w:rFonts w:ascii="Arial" w:cs="Arial" w:eastAsia="Arial" w:hAnsi="Arial"/>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Six Months Ended</w:t>
            </w:r>
          </w:p>
        </w:tc>
      </w:tr>
      <w:tr>
        <w:trPr>
          <w:trHeight w:val="177"/>
        </w:trPr>
        <w:tc>
          <w:tcPr>
            <w:tcW w:w="6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11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6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used in operating activities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(15,178)</w:t>
            </w:r>
          </w:p>
        </w:tc>
        <w:tc>
          <w:tcPr>
            <w:tcW w:w="12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$(22,065)</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(11,211)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(15,034)</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Cash provided by investing activities</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21,693</w:t>
            </w:r>
          </w:p>
        </w:tc>
        <w:tc>
          <w:tcPr>
            <w:tcW w:w="18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3,231</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22,774</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19,931</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(used in) financing activities</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61,805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$ 42,971</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11,663</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Net cash used in operating activities for the six months ended June 30, 2019, was $11.2 million, which consisted primarily of net loss of $12.1 million decreased by non-cash charges of $0.7 million and by a net change of $0.3 million in our net operating assets. The non-cash charges primarily consisted of stock-based compensation of $0.4 million and depreciation of $0.2 million. The change in our net operating assets and liabilities was primarily due to an increase in accrued compensation and accrued liabilities and outstanding payables in 2019.</w:t>
      </w:r>
    </w:p>
    <w:p>
      <w:pPr>
        <w:spacing w:after="0" w:line="172" w:lineRule="exact"/>
        <w:rPr>
          <w:sz w:val="20"/>
          <w:szCs w:val="20"/>
          <w:color w:val="auto"/>
        </w:rPr>
      </w:pPr>
    </w:p>
    <w:p>
      <w:pPr>
        <w:ind w:left="120" w:right="40" w:firstLine="551"/>
        <w:spacing w:after="0" w:line="268" w:lineRule="auto"/>
        <w:rPr>
          <w:sz w:val="20"/>
          <w:szCs w:val="20"/>
          <w:color w:val="auto"/>
        </w:rPr>
      </w:pPr>
      <w:r>
        <w:rPr>
          <w:rFonts w:ascii="Arial" w:cs="Arial" w:eastAsia="Arial" w:hAnsi="Arial"/>
          <w:sz w:val="17"/>
          <w:szCs w:val="17"/>
          <w:color w:val="auto"/>
        </w:rPr>
        <w:t>Net cash used in operating activities for the six months ended June 30, 2020, was $ 15.0 million, which consisted primarily of net loss of $15.2 million decreased by non-cash charges of $1.1 million partially offset by a net change of $0.9 million in our net operating assets. The non-cash charges primarily consisted of stock-based compensation of $0.7 million and depreciation and amortization expense of $0.3 million. The change in our net operating assets and liabilities was primarily due to a decrease in outstanding payables in 2020.</w:t>
      </w:r>
    </w:p>
    <w:p>
      <w:pPr>
        <w:spacing w:after="0" w:line="153"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Net cash used in operating activities for the year ended December 31, 2018, was $15.2 million, which consisted primarily of net loss of $17.5 million decreased by non-cash charges of $1.7 million and by a net change of $0.6 million in our net operating assets. The non-cash charges primarily consisted of stock-based compensation of $1.1 million, depreciation of $0.3 million and amortization of premiums on marketable securities of $0.3 million. The change in our net operating assets and liabilities was primarily due to an increase in accrued liabilities and outstanding payables in 2018.</w:t>
      </w:r>
    </w:p>
    <w:p>
      <w:pPr>
        <w:spacing w:after="0" w:line="172"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Net cash used in operating activities for the year ended December 31, 2019, was $22.1 million, which consisted primarily of net loss of $25.4 million decreased by non-cash charges of $1.4 million and by a net change of $1.9 million in our net operating assets. The non-cash charges primarily consisted of stock-based compensation of $0.9 million and depreciation and amortization expense of $0.5 million. The change in our net operating assets and liabilities was primarily due to an increase in outstanding payables in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$22.7 million of cash during the six months ended June 30, 2019, which consisted primarily of maturities of marketable securities of $33.6 million, partially offset by purchases of marketable securities of $10.7 million and purchases of property and equipment of $0.1 million.</w:t>
      </w:r>
    </w:p>
    <w:p>
      <w:pPr>
        <w:spacing w:after="0" w:line="16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$19.9 million of cash during the six months ended June 30, 2020, which consisted primarily of maturities of marketable securities of $34.6 million, partially offset by purchases of marketable securities of $14.6 million and purchases of property and equipment of $0.1 million.</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$21.7 million of cash during the year ended December 31, 2018, which consisted primarily of maturities of marketable securities of $70.8 million, partially offset by purchases of marketable securities of $48.7 million and purchases of property and equipment of $0.5 million.</w:t>
      </w:r>
    </w:p>
    <w:p>
      <w:pPr>
        <w:spacing w:after="0" w:line="16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$3.2 million of cash during the year ended December 31, 2019, which consisted primarily of maturities of marketable securities of $46.8 million, partially offset by purchases of marketable securities of $43.5 million and purchases of property and equipment of $0.1 million.</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Our financing activities provided $0.1 million of cash during the six months ended June 30, 2019, which consisted primarily of exercises of stock options of $0.1 million.</w:t>
      </w:r>
    </w:p>
    <w:p>
      <w:pPr>
        <w:spacing w:after="0" w:line="145"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Our financing activities used $0.1 million of cash during the six months ended June 30, 2020, which consisted primarily of payments of deferred offering costs associated with incremental legal, professional and other third-party fees directly associated with the planned IPO.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cash flows from financing activities for the year ended December 31, 2018.</w:t>
      </w:r>
    </w:p>
    <w:p>
      <w:pPr>
        <w:spacing w:after="0" w:line="21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Our financing activities provided $61.8 million of cash during the year ended December 31, 2019, which consisted primarily of proceeds from the issuance of our Series C convertible preferred stock of $61.9 million, and proceeds from the exercise of stock options of $0.1 million, partially offset by payments of equity issuance costs of $0.2 million.</w:t>
      </w:r>
    </w:p>
    <w:p>
      <w:pPr>
        <w:spacing w:after="0" w:line="27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Off-Balance Sheet Arrangements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Less than</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1 to 3</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3 to 5</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8"/>
              </w:rPr>
              <w:t>More than</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years</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5 years</w:t>
            </w:r>
          </w:p>
        </w:tc>
        <w:tc>
          <w:tcPr>
            <w:tcW w:w="440" w:type="dxa"/>
            <w:vAlign w:val="bottom"/>
          </w:tcPr>
          <w:p>
            <w:pPr>
              <w:spacing w:after="0"/>
              <w:rPr>
                <w:sz w:val="15"/>
                <w:szCs w:val="15"/>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479</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4" w:lineRule="exact"/>
        <w:rPr>
          <w:sz w:val="20"/>
          <w:szCs w:val="20"/>
          <w:color w:val="auto"/>
        </w:rPr>
      </w:pPr>
    </w:p>
    <w:p>
      <w:pPr>
        <w:ind w:left="120" w:right="380" w:firstLine="551"/>
        <w:spacing w:after="0" w:line="255"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76" w:lineRule="auto"/>
        <w:rPr>
          <w:sz w:val="20"/>
          <w:szCs w:val="20"/>
          <w:color w:val="auto"/>
        </w:rPr>
      </w:pPr>
      <w:r>
        <w:rPr>
          <w:rFonts w:ascii="Arial" w:cs="Arial" w:eastAsia="Arial" w:hAnsi="Arial"/>
          <w:sz w:val="18"/>
          <w:szCs w:val="18"/>
          <w:color w:val="auto"/>
        </w:rPr>
        <w:t>estimates we use are reasonable, due to the inherent uncertainty involved in making those estimates, actual results reported in future periods could differ from those estimates.</w:t>
      </w:r>
    </w:p>
    <w:p>
      <w:pPr>
        <w:spacing w:after="0" w:line="14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allocated facility-related expenses and external costs of outside vendors, and other direct and indirect costs. Non -refundable research and development advance payments are deferred and capitalized. The capitalized amounts are expensed as the related goods are delivered or services are performed.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all stock options and other stock-based awards granted to our employees, directors, consultants and</w:t>
      </w:r>
    </w:p>
    <w:p>
      <w:pPr>
        <w:spacing w:after="0" w:line="18"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performance condition is probable. Non-employee option awards are measured at the earlier of the commitment date for performance by the counterparty or the date when the performance is complete, and compensation expense is recognized in the same manner as if we had paid cash for goods or services.</w:t>
      </w:r>
    </w:p>
    <w:p>
      <w:pPr>
        <w:spacing w:after="0" w:line="181"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45"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 as discussed below.</w:t>
      </w:r>
    </w:p>
    <w:p>
      <w:pPr>
        <w:spacing w:after="0" w:line="69" w:lineRule="exact"/>
        <w:rPr>
          <w:sz w:val="20"/>
          <w:szCs w:val="20"/>
          <w:color w:val="auto"/>
        </w:rPr>
      </w:pPr>
    </w:p>
    <w:p>
      <w:pPr>
        <w:ind w:left="880" w:right="100" w:hanging="224"/>
        <w:spacing w:after="0" w:line="248"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As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have sufficient historical experience for determining the expected term of the stock option awards granted, we based our expected term for awards issued to employees and non-employees using the simplified method which is presumed to be the midpoint between the vesting date and the end of the contracted term.</w:t>
      </w:r>
    </w:p>
    <w:p>
      <w:pPr>
        <w:spacing w:after="0" w:line="75"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Contractual Term</w:t>
      </w:r>
      <w:r>
        <w:rPr>
          <w:rFonts w:ascii="Arial" w:cs="Arial" w:eastAsia="Arial" w:hAnsi="Arial"/>
          <w:sz w:val="18"/>
          <w:szCs w:val="18"/>
          <w:color w:val="auto"/>
        </w:rPr>
        <w:t>—The contractual term represents the nominal period that the stock-based awards are outstanding.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specific terms of our nonemployee share option arrangements, we determined the contractual term is the appropriate expected term to be used in estimating the fair value of the nonemployee share options.</w:t>
      </w:r>
    </w:p>
    <w:p>
      <w:pPr>
        <w:spacing w:after="0" w:line="69" w:lineRule="exact"/>
        <w:rPr>
          <w:rFonts w:ascii="Arial" w:cs="Arial" w:eastAsia="Arial" w:hAnsi="Arial"/>
          <w:sz w:val="18"/>
          <w:szCs w:val="18"/>
          <w:color w:val="auto"/>
        </w:rPr>
      </w:pPr>
    </w:p>
    <w:p>
      <w:pPr>
        <w:ind w:left="880" w:right="380" w:hanging="224"/>
        <w:spacing w:after="0" w:line="255"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zero-coupon U.S. Treasury constant maturity notes with terms approximately equal to the stock-based awards’ expected term.</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5" w:right="4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60" w:hanging="224"/>
        <w:spacing w:after="0" w:line="255"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do not have a trading history of common stock, the expected volatility was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stock volatilities of the common stock of several public companies within the industry that we consider to be comparable to our business over a period equivalent to the expected term of the stock-based awards.</w:t>
      </w:r>
    </w:p>
    <w:p>
      <w:pPr>
        <w:spacing w:after="0" w:line="69"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rate is zero as we have not paid and do not anticipate paying any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50" w:lineRule="exact"/>
        <w:rPr>
          <w:rFonts w:ascii="Arial" w:cs="Arial" w:eastAsia="Arial" w:hAnsi="Arial"/>
          <w:sz w:val="18"/>
          <w:szCs w:val="18"/>
          <w:color w:val="auto"/>
        </w:rPr>
      </w:pPr>
    </w:p>
    <w:p>
      <w:pPr>
        <w:ind w:left="880" w:right="40" w:hanging="224"/>
        <w:spacing w:after="0" w:line="245"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this offering, the fair value of the shares of common stock underlying the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has been determined by our board of directors with input from management. Because there has been no public market for our common stock, our board of directors has determined the fair value of our common stock at the time of grant of the stock-based award by considering a number of objective and subjective factors, including having valuations of the common stock performed by a third-party valuation specialist, as further described below.</w:t>
      </w:r>
    </w:p>
    <w:p>
      <w:pPr>
        <w:spacing w:after="0" w:line="17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As of June 30, 2020, the total unrecognized compensation expense related to unvested employee and non-employee options was $3.6 million, which we expect to recognize over an estimated weighted-average period of 2.9 years. Based upon the assumed initial public offering price of $17.00 per share, the midpoint of the price range set forth on the cover page of this prospectus, the aggregate intrinsic value of options outstanding as of June 30, 2020 was $56.3 million, of which $32.5 million related to vested options and $23.8 million related to unvested options.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The fair value of the shares of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w:t>
      </w:r>
      <w:r>
        <w:rPr>
          <w:rFonts w:ascii="Arial" w:cs="Arial" w:eastAsia="Arial" w:hAnsi="Arial"/>
          <w:sz w:val="18"/>
          <w:szCs w:val="18"/>
          <w:i w:val="1"/>
          <w:iCs w:val="1"/>
          <w:color w:val="auto"/>
        </w:rPr>
        <w:t>American Institute of Certified Public Accountants Practice Aid, Valuation of Privately-Held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our board of directors exercised reasonable judgment and considered numerous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 factors to determine the best estimate of the fair value of our common stock at each grant date. These factors include:</w:t>
      </w:r>
    </w:p>
    <w:p>
      <w:pPr>
        <w:spacing w:after="0" w:line="79"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prices of common or convertible preferred stock sold to third-party investors by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lack of marketability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history of the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merger or acquisition of our company given prevailing market conditions;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1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the hybrid method with input from management and contemporaneous third-party valuations.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 In the first scenario, the potential exit date, the probability exit value and the likelihood of interim financings were considered. In the second scenario, which was assigned the residual probability, the potential exit date, the equity volatility, the assumed interest rate, the dividend yield and equity inflection points at which the allocation of proceeds changes were considered. The valuation method considers the total number of shares authorized and outstanding, as well as recent issuances of both preferred and common stock.</w:t>
      </w:r>
    </w:p>
    <w:p>
      <w:pPr>
        <w:spacing w:after="0" w:line="180"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the time to the liquidation event and volatility. Changes in these estimates and assumptions or the relationships between these assumptions impact our valuations as of each valuation date and may have a material impact on the valuation of common stock.</w:t>
      </w:r>
    </w:p>
    <w:p>
      <w:pPr>
        <w:spacing w:after="0" w:line="170"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by Nasdaq on the date of grant. Future expense amounts for any particular period could be affected by changes in our assumptions or market conditions.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Recent Accounting Pronouncements</w:t>
      </w:r>
    </w:p>
    <w:p>
      <w:pPr>
        <w:spacing w:after="0" w:line="21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For a description of recent accounting pronouncements, see Note 2 of the notes to our audited financial statements for the year ended December 31, 2019 included elsewhere in this prospectus.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JOBS Act Accounting Election</w:t>
      </w:r>
    </w:p>
    <w:p>
      <w:pPr>
        <w:spacing w:after="0" w:line="21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closing of this offering, (b) in which we have total annual gross revenue of at least $1.07 billion or (c) in which we are deemed to be a large accelerated filer, which requires the market value of our common stock that is held by non-affiliates to exceed $700 million as of the prior June 30th, and (2) the date on which we have issued more than $1 billion in non-convertible debt during the prior three-year period.</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212"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We had cash and cash equivalents of $78.1 million and short-term marketable securities of $8.1 million as of June 30, 2020, which consists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164"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received authorization to proceed under an investigational new drug application, or IND, for PC14586 on September 4, 2020 and plan to start a Phase 1/2 clinical trial in the second half of 2020. Our strategy is to seek approval under an accelerated pathway, and we believe our Phase 1/2 clinical trial has the potential to serve as a pivotal study. We cannot guarantee that the U.S. Food and Drug Administration, or FDA, will agree with this strategy of utilizing the Phase 1/2 clinical trial as a pivotal study, which could require us to conduct additional clinical trials prior to seeking FDA approval. In addition, we are leveraging our precision oncology platform to develop a pipeline of oral small molecule product candidates that structurally correct other p53 hotspot mutations to restore their wild-type function.</w:t>
      </w:r>
    </w:p>
    <w:p>
      <w:pPr>
        <w:spacing w:after="0" w:line="18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innovation engine consists of three complementary drivers:</w:t>
      </w:r>
    </w:p>
    <w:p>
      <w:pPr>
        <w:spacing w:after="0" w:line="117" w:lineRule="exact"/>
        <w:rPr>
          <w:sz w:val="20"/>
          <w:szCs w:val="20"/>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deep understanding of, and leadership in, p53 biology that enable unique insights into targeting individual mutations;</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ability to design structure-based oral small molecule product candidates that selectively target and correct specific p53 mutants; and</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assays, screens, preclinical model systems and biomarkers that enable us to assess and optimize selective small molecule product candidates for specific p53 mutants.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and Pipeline</w:t>
      </w:r>
    </w:p>
    <w:p>
      <w:pPr>
        <w:spacing w:after="0" w:line="21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We are leveraging our precision oncology platform to develop a pipeline of orally available, potent and highly selective small molecule product candidates that are designed to structurally correct specific mutant p53 proteins to restore their wild-type function.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5087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hanging="544"/>
        <w:spacing w:after="0"/>
        <w:tabs>
          <w:tab w:leader="none" w:pos="66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660" w:right="440" w:hanging="544"/>
        <w:spacing w:after="0" w:line="182" w:lineRule="auto"/>
        <w:tabs>
          <w:tab w:leader="none" w:pos="660" w:val="left"/>
        </w:tabs>
        <w:numPr>
          <w:ilvl w:val="0"/>
          <w:numId w:val="72"/>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line="183" w:lineRule="auto"/>
        <w:tabs>
          <w:tab w:leader="none" w:pos="660" w:val="left"/>
        </w:tabs>
        <w:numPr>
          <w:ilvl w:val="0"/>
          <w:numId w:val="72"/>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17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the mutant p53 protein with the Y220C mutation. The Y220C mutation results from tyrosine being substituted by a cysteine at amino acid position 220 and is associated with 1.0-1.5% of all cancers, including breast, NSCLC, colorectal, pancreatic and ovarian cancers. There are currently no products approved by the FDA, and we are not aware of any other products in clinical development, that selectively target the p53 Y220C mutation.</w:t>
      </w:r>
    </w:p>
    <w:p>
      <w:pPr>
        <w:spacing w:after="0" w:line="17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PC14586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PC14586 has shown selective on-target activity (</w:t>
      </w:r>
      <w:r>
        <w:rPr>
          <w:rFonts w:ascii="Arial" w:cs="Arial" w:eastAsia="Arial" w:hAnsi="Arial"/>
          <w:sz w:val="18"/>
          <w:szCs w:val="18"/>
          <w:i w:val="1"/>
          <w:iCs w:val="1"/>
          <w:color w:val="auto"/>
        </w:rPr>
        <w:t>i.e.</w:t>
      </w:r>
      <w:r>
        <w:rPr>
          <w:rFonts w:ascii="Arial" w:cs="Arial" w:eastAsia="Arial" w:hAnsi="Arial"/>
          <w:sz w:val="18"/>
          <w:szCs w:val="18"/>
          <w:color w:val="auto"/>
        </w:rPr>
        <w:t>, primarily functions in cells with the p53 Y220C mutation) and exhibited robust anti-tumor activity evidenced by potent tumor growth inhibition, or TGI, and strong tumor regression as a single agent. In these studies, PC14586 also induced the expression of Macrophage Inhibitory Cytokine-1, or MIC-1, which is an established biomarker for wild-type p53 activity that can be measured non-invasively in the blood in animal models as well as in humans. Further, preclinical studies have demonstrated significant synergistic effects in combination with anti-PD-1 therapy.</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received authorization to proceed under an IND for PC14586 on September 4, 2020 and plan to start a Phase 1/2 clinical trial in the second half of 2020. The Phase 1 portion of the trial is designed to evaluate escalating doses of PC14586 to determine the maximum tolerated dose, or MTD, and recommended Phase 2 dose of PC14586 when administered orally to patients on a once daily dosing schedule. Safety, tolerability and effects on biomarkers such as MIC-1 will also be assessed. The Phase 1 portion is also designed to assess preliminary anti-tumor efficacy in patients with advanced solid tumors that have the p53 Y220C mutation. In the Phase 2 portion, we plan to evaluate the objective response rate, or ORR, and duration of response, or DoR, in patients with advanced solid tumors that have the p53 Y220C mutation. We initially intend to pursue an accelerated approval on the basis of this Phase 1/2 clinical trial for a tumor-agnostic indication for PC14586, subject to discussions with FDA and other health authorities.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believe the mechanism of action employed by PC14586 to structurally correct a specific p53 mutant and restore wild-type p53 activity could offer a unique value proposition in oncology, and is a strategy that can be pursued broadly across other p53 mutations. To that point, we are developing a pipeline of candidates targeting other p53 hotspot mutations. We have other preclinical programs that have demonstrated biochemical validation, for which we are leveraging knowledge from our PC14586 Y220C program. We believe we can scale our discovery and development principles across all p53 hotspot mutations to streamline the process of further developing our pipeline.</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novel precision medicines for every patient with a tumor containing a p53 mutation.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74" w:lineRule="exact"/>
        <w:rPr>
          <w:sz w:val="20"/>
          <w:szCs w:val="20"/>
          <w:color w:val="auto"/>
        </w:rPr>
      </w:pPr>
    </w:p>
    <w:p>
      <w:pPr>
        <w:ind w:left="880" w:hanging="224"/>
        <w:spacing w:after="0" w:line="239"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Advancing our lead product candidate, PC14586, as a tumor-agnostic, oral small molecule single-agent therapy for cancer patients</w:t>
      </w:r>
      <w:r>
        <w:rPr>
          <w:rFonts w:ascii="Arial" w:cs="Arial" w:eastAsia="Arial" w:hAnsi="Arial"/>
          <w:sz w:val="18"/>
          <w:szCs w:val="18"/>
          <w:color w:val="auto"/>
        </w:rPr>
        <w:t>. We have designed PC14586 to be an orally available, tumor-agnostic therapeutic and, if approved,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it could become the first agent to address the p53 Y220C mutation-defined patient population. We intend to advance PC14586 into a Phase 1/2 clinical trial in multiple solid tumors with the p53 Y220C mutation in the second half of 2020. We plan to conduct our clinical trials in this genetically-defined patient population and leverage learnings from recently approved tumor-agnostic drugs to inform the clinical and regulatory pathways for PC14586. If successful in achieving clinically meaningful anti-tumor efficacy in patients with p53 Y220C mutations across a range of solid tumor types, we plan to meet with regulatory authorities to discuss the potential to pursue approval for a tumor-agnostic label under the FDA’s accelerated approval pathway. We also plan to explore pursuing certain expedited regulatory pathways, such as fast track or breakthrough therapy designation, as well as orphan drug designation.</w:t>
      </w:r>
    </w:p>
    <w:p>
      <w:pPr>
        <w:spacing w:after="0" w:line="85" w:lineRule="exact"/>
        <w:rPr>
          <w:rFonts w:ascii="Arial" w:cs="Arial" w:eastAsia="Arial" w:hAnsi="Arial"/>
          <w:sz w:val="18"/>
          <w:szCs w:val="18"/>
          <w:color w:val="auto"/>
        </w:rPr>
      </w:pPr>
    </w:p>
    <w:p>
      <w:pPr>
        <w:ind w:left="880" w:right="2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Harnessing the power of our precision oncology platform to discover and develop additional differentiated product candidates that are designed to precisely target p53 mutations in cancer</w:t>
      </w:r>
      <w:r>
        <w:rPr>
          <w:rFonts w:ascii="Arial" w:cs="Arial" w:eastAsia="Arial" w:hAnsi="Arial"/>
          <w:sz w:val="18"/>
          <w:szCs w:val="18"/>
          <w:color w:val="auto"/>
        </w:rPr>
        <w:t>. We believe that the general principles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PC14586 Y220C program can be applied to other p53 hotspot mutations. Using our extensive in-house expertise, deep understanding of chemistry and decades of experience researching the p53 protein, we believe that we will be able to leverage and apply foundational knowledge from the advancement of PC14586 to the discovery and development of small molecules targeting other p53 mutations. We are advancing several early-stage programs focused on targeting the p53 hotspot mutations, including our R273H program. In an ongoing effort to bring forward new product candidates, we plan to continue to invest in our precision oncology platform, including our high-throughput screens that allow for quantitative visualization of the conversion from mutant to wild-type p53 in a dose-dependent manner.</w:t>
      </w:r>
    </w:p>
    <w:p>
      <w:pPr>
        <w:spacing w:after="0" w:line="81" w:lineRule="exact"/>
        <w:rPr>
          <w:rFonts w:ascii="Arial" w:cs="Arial" w:eastAsia="Arial" w:hAnsi="Arial"/>
          <w:sz w:val="18"/>
          <w:szCs w:val="18"/>
          <w:color w:val="auto"/>
        </w:rPr>
      </w:pPr>
    </w:p>
    <w:p>
      <w:pPr>
        <w:ind w:left="880" w:right="40" w:hanging="224"/>
        <w:spacing w:after="0" w:line="241"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Leveraging the advantages of precision medicine and our expertise in p53 biology to pursue accelerated approval of our product candidates</w:t>
      </w:r>
      <w:r>
        <w:rPr>
          <w:rFonts w:ascii="Arial" w:cs="Arial" w:eastAsia="Arial" w:hAnsi="Arial"/>
          <w:sz w:val="18"/>
          <w:szCs w:val="18"/>
          <w:color w:val="auto"/>
        </w:rPr>
        <w:t>. For our lead product candidate, PC14586, we plan to work with physicians and leading academic</w:t>
      </w:r>
      <w:r>
        <w:rPr>
          <w:rFonts w:ascii="Arial" w:cs="Arial" w:eastAsia="Arial" w:hAnsi="Arial"/>
          <w:sz w:val="18"/>
          <w:szCs w:val="18"/>
          <w:b w:val="1"/>
          <w:bCs w:val="1"/>
          <w:color w:val="auto"/>
        </w:rPr>
        <w:t xml:space="preserve"> </w:t>
      </w:r>
      <w:r>
        <w:rPr>
          <w:rFonts w:ascii="Arial" w:cs="Arial" w:eastAsia="Arial" w:hAnsi="Arial"/>
          <w:sz w:val="18"/>
          <w:szCs w:val="18"/>
          <w:color w:val="auto"/>
        </w:rPr>
        <w:t>centers to enroll patients with the p53 Y220C mutation identified through NGS in our Phase 1/2 clinical trial. In order to rapidly confirm mechanistic and clinical proof of concept, we plan to utilize assays to measure target engagement and biomarkers, as well as assess clinical responses in patients. We expect this strategy, which we also plan to replicate for our other future product candidates, will enable a rapid determination of target engagement and has potential to serve as a predictive marker of efficacy, thereby providing clear decision points for clinical development and efficient advancement of our product candidates towards approval. If we obtain early and encouraging clinical results, we may</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60"/>
        <w:spacing w:after="0" w:line="306" w:lineRule="auto"/>
        <w:rPr>
          <w:sz w:val="20"/>
          <w:szCs w:val="20"/>
          <w:color w:val="auto"/>
        </w:rPr>
      </w:pPr>
      <w:r>
        <w:rPr>
          <w:rFonts w:ascii="Arial" w:cs="Arial" w:eastAsia="Arial" w:hAnsi="Arial"/>
          <w:sz w:val="17"/>
          <w:szCs w:val="17"/>
          <w:color w:val="auto"/>
        </w:rPr>
        <w:t>seek breakthrough therapy designation from the FDA, which, if granted, is intended to expedite clinical development and regulatory review. We intend to maximize the benefit of our product candidates by pursuing a tumor-agnostic approach.</w:t>
      </w:r>
    </w:p>
    <w:p>
      <w:pPr>
        <w:spacing w:after="0" w:line="26" w:lineRule="exact"/>
        <w:rPr>
          <w:sz w:val="20"/>
          <w:szCs w:val="20"/>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Identifying and exploring combination therapy approaches for our product candidates</w:t>
      </w:r>
      <w:r>
        <w:rPr>
          <w:rFonts w:ascii="Arial" w:cs="Arial" w:eastAsia="Arial" w:hAnsi="Arial"/>
          <w:sz w:val="18"/>
          <w:szCs w:val="18"/>
          <w:color w:val="auto"/>
        </w:rPr>
        <w:t>. Though PC14586 has</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clear and robust tumor regression as a single agent in preclinical animal models,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DNA damage, upregulate p53 and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jc w:val="both"/>
        <w:ind w:left="120" w:right="60" w:firstLine="551"/>
        <w:spacing w:after="0" w:line="241" w:lineRule="auto"/>
        <w:rPr>
          <w:sz w:val="20"/>
          <w:szCs w:val="20"/>
          <w:color w:val="auto"/>
        </w:rPr>
      </w:pPr>
      <w:r>
        <w:rPr>
          <w:rFonts w:ascii="Arial" w:cs="Arial" w:eastAsia="Arial" w:hAnsi="Arial"/>
          <w:sz w:val="18"/>
          <w:szCs w:val="18"/>
          <w:color w:val="auto"/>
        </w:rPr>
        <w:t>We believe we have established a leadership position in the discovery and development of oral small molecule therapies targeting mutant p53. Founded in 2013 by David Mack, Ph.D., Arnold Levine, Ph.D. and Thomas Shenk, Ph.D.,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Our vision has been supported by leading investors, including InterWest Partners, OrbiMed Advisors, Topspin Partners, Euclidean Capital, Nextech Invest, Viking Global Investors, Boxer Capital of Tavistock Group, Osage University Partners, Avoro Capital, RA Capital Management and Wellington Management.</w:t>
      </w:r>
    </w:p>
    <w:p>
      <w:pPr>
        <w:spacing w:after="0" w:line="179"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have assembled a team with significant experience in drug discovery and development, with particular expertise in the discovery of small molecule oncology programs. Dr. Mack, our President and Chief Executive Officer, was previously General Partner at Alta Partners and co-founder and Vice President of Genomic Research at Eos Biotechnology, where he led the advancement of multiple product candidates prior to the company’s sale to Protein Design Labs. Winston Kung, our Chief Operating Officer and Chief Financial Officer, was previously Vice President of Business Development and Global Alliances at Celgene and Chief Business Officer of Celgene Cellular Therapeutics. Leila Alland, M.D., our Chief Medical Officer, is an oncologist with 20 years of experience developing oncology products in the biopharmaceutical industry, most recently as Chief Medical Officer of Affimed. Deepika Jalota, Pharm.D., our Senior Vice President, Regulatory Affairs and Quality Assurance, was previously Vice President in Oncology Regulatory Affairs at Bayer and led the tumor-agnostic regulatory strategy for larotrectinib (Vitrakvi) in collaboration with Loxo Oncology.</w:t>
      </w:r>
    </w:p>
    <w:p>
      <w:pPr>
        <w:spacing w:after="0" w:line="176"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scientific advisory board, or SAB:</w:t>
      </w:r>
    </w:p>
    <w:p>
      <w:pPr>
        <w:spacing w:after="0" w:line="50" w:lineRule="exact"/>
        <w:rPr>
          <w:sz w:val="20"/>
          <w:szCs w:val="20"/>
          <w:color w:val="auto"/>
        </w:rPr>
      </w:pPr>
    </w:p>
    <w:p>
      <w:pPr>
        <w:ind w:left="880" w:right="500" w:hanging="224"/>
        <w:spacing w:after="0" w:line="276"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Scott Lowe, Ph.D.—Chair, Cancer Biology and Genetics Program, Sloan Kettering Institute, Chair, Geoffrey Beene Cancer Research Center, Memorial Sloan Kettering and co-founder of ORIC Pharmaceuticals (NASDAQ: ORIC);</w:t>
      </w:r>
    </w:p>
    <w:p>
      <w:pPr>
        <w:spacing w:after="0" w:line="50" w:lineRule="exact"/>
        <w:rPr>
          <w:rFonts w:ascii="Arial" w:cs="Arial" w:eastAsia="Arial" w:hAnsi="Arial"/>
          <w:sz w:val="18"/>
          <w:szCs w:val="18"/>
          <w:color w:val="auto"/>
        </w:rPr>
      </w:pPr>
    </w:p>
    <w:p>
      <w:pPr>
        <w:ind w:left="880" w:right="420" w:hanging="224"/>
        <w:spacing w:after="0" w:line="248"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Richard Heyman, Ph.D.—Vice Chair of the Board of Trustees at the Salk Institute, former Chief Executive Officer of Aragon Pharmaceuticals (acquired by Johnson &amp; Johnson (NYSE: JNJ)), co-founder and former Chief Executive Officer of Seragon Pharmaceuticals (acquired by Roche Genentech), and co-founder, Chairman and former Chief Executive Officer of ORIC Pharmaceuticals (NASDAQ: ORIC);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20" w:hanging="224"/>
        <w:spacing w:after="0" w:line="245"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Michael Jung, Ph.D.—Distinguished Professor of Chemistry and Biochemistry at University of California, Los Angeles, and co-founder of Aragon Pharmaceuticals (acquired by Johnson &amp; Johnson (NYSE: JNJ)) and Seragon Pharmaceuticals (acquired by Roche Genentech), and co-discovered Xtandi, an FDA-approved prostate cancer drug licensed to Medivation (acquired by Pfizer (NYSE: PFE)),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Arnold Levine, Ph.D.—Professor Emeritus, School of Natural Sciences Biology, Institute of Advanced Studies;</w:t>
      </w:r>
    </w:p>
    <w:p>
      <w:pPr>
        <w:spacing w:after="0" w:line="117"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Frank McCormick, Ph.D., F.R.S.—Professor at the UCSF Helen Diller Comprehensive Cancer Center, co-founder of Bridge Bio and Onyx Pharmaceuticals and initiated and led drug discovery efforts that led to approval of Nexavar, an FDA-approved drug for liver, thyroid and kidney cancer;</w:t>
      </w:r>
    </w:p>
    <w:p>
      <w:pPr>
        <w:spacing w:after="0" w:line="69" w:lineRule="exact"/>
        <w:rPr>
          <w:rFonts w:ascii="Arial" w:cs="Arial" w:eastAsia="Arial" w:hAnsi="Arial"/>
          <w:sz w:val="18"/>
          <w:szCs w:val="18"/>
          <w:color w:val="auto"/>
        </w:rPr>
      </w:pPr>
    </w:p>
    <w:p>
      <w:pPr>
        <w:ind w:left="880" w:right="220" w:hanging="224"/>
        <w:spacing w:after="0" w:line="245"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Charles Sawyers, M.D.—Marie-Josee and Henry R. Kravis Chair in Human Oncology and Pathogenesis, Memorial Sloan Kettering, co-founder of Aragon Pharmaceuticals (acquired by Johnson &amp; Johnson (NYSE: JNJ)), Seragon Pharmaceuticals (acquired by Roche Genentech), and ORIC Pharmaceuticals (NASDAQ: ORIC), and member of the board of directors of Novartis (NYSE: NVS), and co-discovered Xtandi, an FDA-approved prostate cancer drug licensed to Medivation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Thomas Shenk, Ph.D.—James A. Elkins Professor of Life Sciences in the Department of Molecular Biology at Princeton University; and</w:t>
      </w:r>
    </w:p>
    <w:p>
      <w:pPr>
        <w:spacing w:after="0" w:line="50" w:lineRule="exact"/>
        <w:rPr>
          <w:rFonts w:ascii="Arial" w:cs="Arial" w:eastAsia="Arial" w:hAnsi="Arial"/>
          <w:sz w:val="18"/>
          <w:szCs w:val="18"/>
          <w:color w:val="auto"/>
        </w:rPr>
      </w:pPr>
    </w:p>
    <w:p>
      <w:pPr>
        <w:ind w:left="880" w:right="680" w:hanging="224"/>
        <w:spacing w:after="0" w:line="276"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Karen Vousden, Ph.D.—Chief Scientist at Cancer Research UK (CRUK), Group Leader at the Francis Crick Institute and member of the board of directors of Bristol-Myers Squibb (NYSE: BMY).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Targeted Therapies</w:t>
      </w:r>
    </w:p>
    <w:p>
      <w:pPr>
        <w:spacing w:after="0" w:line="214" w:lineRule="exact"/>
        <w:rPr>
          <w:sz w:val="20"/>
          <w:szCs w:val="20"/>
          <w:color w:val="auto"/>
        </w:rPr>
      </w:pPr>
    </w:p>
    <w:p>
      <w:pPr>
        <w:ind w:left="120" w:right="20" w:firstLine="551"/>
        <w:spacing w:after="0" w:line="268" w:lineRule="auto"/>
        <w:rPr>
          <w:sz w:val="20"/>
          <w:szCs w:val="20"/>
          <w:color w:val="auto"/>
        </w:rPr>
      </w:pPr>
      <w:r>
        <w:rPr>
          <w:rFonts w:ascii="Arial" w:cs="Arial" w:eastAsia="Arial" w:hAnsi="Arial"/>
          <w:sz w:val="17"/>
          <w:szCs w:val="17"/>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53"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Recent advances in genetic sequencing and a better understanding of the genetic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(Loxo/Bayer);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and Qinlock, in GIST (Deciphera), all received approvals within five years of first dosing in humans. This time period is significantly reduced compared to conventional drug development timelines. Despite this progress, a recent analysis found that only 8% of patients with metastatic cancer</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76" w:lineRule="auto"/>
        <w:rPr>
          <w:sz w:val="20"/>
          <w:szCs w:val="20"/>
          <w:color w:val="auto"/>
        </w:rPr>
      </w:pPr>
      <w:r>
        <w:rPr>
          <w:rFonts w:ascii="Arial" w:cs="Arial" w:eastAsia="Arial" w:hAnsi="Arial"/>
          <w:sz w:val="18"/>
          <w:szCs w:val="18"/>
          <w:color w:val="auto"/>
        </w:rPr>
        <w:t>have tumors with genetic profiles eligible for treatment with an approved targeted agent, which leaves a large opportunity for precision oncology.</w:t>
      </w:r>
    </w:p>
    <w:p>
      <w:pPr>
        <w:spacing w:after="0" w:line="145"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genetic mutation that defines the disease, as opposed to the tumor type. These include the aforementioned Vitrakvi and Rozlytrek approvals as well as the pembrolizumab, or Keytruda, approval in metastatic microsatellite instability-high, or MSI-high, or deficient mismatch repair, or dMMR, solid tumors. We believe that these approvals represent a fundamental shift in the development of targeted therapies and will increasingly lead to cancer being characterized for treatment in a genetic, rather than in a tumor-specific, manner.</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widespread recognition that cancer is a genetic disease, as much as it is a disease defined by histology or anatomical location, has driven the increased use of genetic sequencing, which is now employed by 75% of oncologists in the United States. As technology advances in DNA sequencing, the availability of well-defined genetic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genetic sequencing are leading to transformations in the discovery and development of new targeted oncology drugs.</w:t>
      </w:r>
    </w:p>
    <w:p>
      <w:pPr>
        <w:spacing w:after="0" w:line="174" w:lineRule="exact"/>
        <w:rPr>
          <w:sz w:val="20"/>
          <w:szCs w:val="20"/>
          <w:color w:val="auto"/>
        </w:rPr>
      </w:pPr>
    </w:p>
    <w:p>
      <w:pPr>
        <w:jc w:val="both"/>
        <w:ind w:left="120" w:firstLine="551"/>
        <w:spacing w:after="0" w:line="257" w:lineRule="auto"/>
        <w:rPr>
          <w:sz w:val="20"/>
          <w:szCs w:val="20"/>
          <w:color w:val="auto"/>
        </w:rPr>
      </w:pPr>
      <w:r>
        <w:rPr>
          <w:rFonts w:ascii="Arial" w:cs="Arial" w:eastAsia="Arial" w:hAnsi="Arial"/>
          <w:sz w:val="17"/>
          <w:szCs w:val="17"/>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w:t>
      </w:r>
    </w:p>
    <w:p>
      <w:pPr>
        <w:spacing w:after="0" w:line="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Given the high prevalence of p53 mutations in cancers, we believe that the best way to address p53-driven cancers is by targeting individual p53 mutations using a precision oncology approach and significantly expand the scope of patients who can benefit from targeted therapies.</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p53, the Most Frequently Mutated Gene in Human Cancer</w:t>
      </w:r>
    </w:p>
    <w:p>
      <w:pPr>
        <w:spacing w:after="0" w:line="21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and is the most widely mutated gene in human cancers. Since its discovery in 1979 by our co-founder Dr. Arnold Levine, p53 has been extensively studied by researchers and the pharmaceutical industry due to its central role in preventing the initiation and proliferation of liquid and solid tumors. p53 has long been referred to as the “guardian of the genome” because it regulates expression of a number of genes that comprise the body’s first line of cellular defense against cancers. Among its multiple biologic functions, p53 regulates a variety of tumor suppressive responses including cell cycle arrest, DNA repair, senescence and apoptosis.</w:t>
      </w:r>
    </w:p>
    <w:p>
      <w:pPr>
        <w:spacing w:after="0" w:line="174"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p53 is a transcriptional factor, which binds to the promoters of its target genes in a sequence-specific manner and regulates their expression, thereby controlling cell cycle and cell death. p53 is activated when DNA damage is detected and when oxidative or other cellular stresses exceed thresholds for normal cellular function. p53 activation facilitates the repair of the cell’s damaged DNA or triggers the killing of the damaged cell through a process known as programmed cell death, or apoptosis, before the cell can become cancerous and proliferate.</w:t>
      </w:r>
    </w:p>
    <w:p>
      <w:pPr>
        <w:spacing w:after="0" w:line="172"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Under normal cellular conditions, p53 is kept at low levels by expression of murine double minute 2, or MDM2, a ubiquitin ligase that promotes the degradation of p53. Upon p53 activation by damaged DNA, and other types of stresses, p53 is upregulated and blocks the proliferation of pre-malignant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malignant cells or eliminates them by inducing apoptosis. Mutant p53 loses the ability to eliminate the proliferation of pre-malignant and malignant cells. Given that the mutational status of p53 in a tumor has a strong impact on sensitivity to commonly used anti-cancer drugs and radiotherapy, p53 is important both as a biomarker and as a novel therapeutic target.</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A key challenge in the development of p53-targeted therapies is the vast number of p53 mutants that lose tumor suppression activity. To date, more than 25,000 unique p53 mutations have been discovered. The p53 hotspot mutations occur as a result of site-specific substitution of one amino acid for another and lead to loss of tumor suppression function for the p53 protein.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 We are initially focusing on targeting the p53 hotspot mutations.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Focus: Top Ten Most Frequent p53 Mutations</w:t>
      </w:r>
    </w:p>
    <w:p>
      <w:pPr>
        <w:spacing w:after="0" w:line="243" w:lineRule="exact"/>
        <w:rPr>
          <w:sz w:val="20"/>
          <w:szCs w:val="20"/>
          <w:color w:val="auto"/>
        </w:rPr>
      </w:pPr>
    </w:p>
    <w:tbl>
      <w:tblPr>
        <w:tblLayout w:type="fixed"/>
        <w:tblInd w:w="570" w:type="dxa"/>
        <w:tblCellMar>
          <w:top w:w="0" w:type="dxa"/>
          <w:left w:w="0" w:type="dxa"/>
          <w:bottom w:w="0" w:type="dxa"/>
          <w:right w:w="0" w:type="dxa"/>
        </w:tblCellMar>
      </w:tblPr>
      <w:tr>
        <w:trPr>
          <w:trHeight w:val="250"/>
        </w:trPr>
        <w:tc>
          <w:tcPr>
            <w:tcW w:w="5180" w:type="dxa"/>
            <w:vAlign w:val="bottom"/>
            <w:tcBorders>
              <w:top w:val="single" w:sz="8" w:color="auto"/>
              <w:left w:val="single" w:sz="8" w:color="auto"/>
              <w:bottom w:val="single" w:sz="8" w:color="0C0C0C"/>
            </w:tcBorders>
            <w:shd w:val="clear" w:color="auto" w:fill="0C0C0C"/>
          </w:tcPr>
          <w:p>
            <w:pPr>
              <w:ind w:left="1940"/>
              <w:spacing w:after="0"/>
              <w:rPr>
                <w:sz w:val="20"/>
                <w:szCs w:val="20"/>
                <w:color w:val="auto"/>
              </w:rPr>
            </w:pPr>
            <w:r>
              <w:rPr>
                <w:rFonts w:ascii="Arial" w:cs="Arial" w:eastAsia="Arial" w:hAnsi="Arial"/>
                <w:sz w:val="14"/>
                <w:szCs w:val="14"/>
                <w:b w:val="1"/>
                <w:bCs w:val="1"/>
                <w:color w:val="FFFFFF"/>
              </w:rPr>
              <w:t>p53 Hotspot Mutation</w:t>
            </w:r>
          </w:p>
        </w:tc>
        <w:tc>
          <w:tcPr>
            <w:tcW w:w="4960" w:type="dxa"/>
            <w:vAlign w:val="bottom"/>
            <w:tcBorders>
              <w:top w:val="single" w:sz="8" w:color="auto"/>
              <w:bottom w:val="single" w:sz="8" w:color="0C0C0C"/>
              <w:right w:val="single" w:sz="8" w:color="auto"/>
            </w:tcBorders>
            <w:shd w:val="clear" w:color="auto" w:fill="0C0C0C"/>
          </w:tcPr>
          <w:p>
            <w:pPr>
              <w:jc w:val="center"/>
              <w:ind w:left="152"/>
              <w:spacing w:after="0"/>
              <w:rPr>
                <w:sz w:val="20"/>
                <w:szCs w:val="20"/>
                <w:color w:val="auto"/>
              </w:rPr>
            </w:pPr>
            <w:r>
              <w:rPr>
                <w:rFonts w:ascii="Arial" w:cs="Arial" w:eastAsia="Arial" w:hAnsi="Arial"/>
                <w:sz w:val="14"/>
                <w:szCs w:val="14"/>
                <w:b w:val="1"/>
                <w:bCs w:val="1"/>
                <w:color w:val="FFFFFF"/>
              </w:rPr>
              <w:t>Frequency Among p53 Mutations</w:t>
            </w:r>
          </w:p>
        </w:tc>
      </w:tr>
      <w:tr>
        <w:trPr>
          <w:trHeight w:val="295"/>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R175H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5.6%</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R248Q</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4.4%</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4.0%</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R248W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3.5%</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3.3%</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R282W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2.8%</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G245S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2.1%</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R249S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2.0%</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Y220C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1.8%</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V157F</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1.0%</w:t>
            </w:r>
          </w:p>
        </w:tc>
      </w:tr>
      <w:tr>
        <w:trPr>
          <w:trHeight w:val="69"/>
        </w:trPr>
        <w:tc>
          <w:tcPr>
            <w:tcW w:w="5180" w:type="dxa"/>
            <w:vAlign w:val="bottom"/>
            <w:tcBorders>
              <w:left w:val="single" w:sz="8" w:color="auto"/>
              <w:bottom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r>
    </w:tbl>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Approach to Targeting p53</w:t>
      </w:r>
    </w:p>
    <w:p>
      <w:pPr>
        <w:spacing w:after="0" w:line="214"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Our goal is to bring precision oncology therapies to a greater number of patients. Decades of research on p53 has unveiled its potential as a precision oncology target, but prior drug development efforts have been unsuccessful. Mutant p53 historically has been classified as “undruggable” due to the difficulty of restoring wild-type p53 function. Mutations in p53 can give rise to mutant p53 proteins with different conformational structures. As a result, we are designing oral small molecule therapies that selectively target a specific p53 mutation while not binding to wild-type p53. We believe our novel approach designed to reactivate p53 function through the structural correction of mutant p53 protein to wild-type p53 represents a therapeutic strategy to target p53.</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drug development efforts leverage our understanding that:</w:t>
      </w:r>
    </w:p>
    <w:p>
      <w:pPr>
        <w:spacing w:after="0" w:line="117" w:lineRule="exact"/>
        <w:rPr>
          <w:sz w:val="20"/>
          <w:szCs w:val="20"/>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mutations throughout the p53 protein can drive tumor formation and growth;</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mutant p53 protein resulting from a specific mutation can potentially be structurally corrected by a selective small molecule, thereby reactivating wild-type p53 activity; and</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p53 hotspot mutations comprise approximately 30% of all p53 mutations and each p53 hotspot mutation represents an individual therapeutic target for drug discovery and development.</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5" w:right="51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believe we can address certain key limitations of current-generation precision oncology therapies by applying our platform to identify and generate therapies that address functional deficiencies associated with specific p53 mutations. We believe this will allow us to design and develop potential therapies for patients for whom there are currently no targeted treatment options.</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Innovation Engine</w:t>
      </w:r>
    </w:p>
    <w:p>
      <w:pPr>
        <w:spacing w:after="0" w:line="21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We have built an innovation engine that allows us to discover and develop potential targeted therapies for mutant p53-driven cancers. This engine consists of three complementary drivers:</w:t>
      </w:r>
    </w:p>
    <w:p>
      <w:pPr>
        <w:spacing w:after="0" w:line="48" w:lineRule="exact"/>
        <w:rPr>
          <w:sz w:val="20"/>
          <w:szCs w:val="20"/>
          <w:color w:val="auto"/>
        </w:rPr>
      </w:pPr>
    </w:p>
    <w:p>
      <w:pPr>
        <w:ind w:left="880" w:right="160" w:hanging="224"/>
        <w:spacing w:after="0" w:line="242"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 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mutated p53 proteins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 cancer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cells based on research and understanding of bioinformatics and functional genomics. We also identify and monitor pharmacodynamic biomarkers and surrogates of clinical activity to help measure target engagement, including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potential therapeutic programs for translation to the clinic.</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Product Candidate and Development Programs</w:t>
      </w:r>
    </w:p>
    <w:p>
      <w:pPr>
        <w:spacing w:after="0" w:line="21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We are leveraging our precision oncology platform to develop a pipeline of oral small molecule product candidates that structurally correct other p53 hotspot mutations to restore their wild-type function. We expect to advance our next program, targeting the p53 R273H hotspot mutation, into lead optimization in the first half of 2021.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139700</wp:posOffset>
            </wp:positionV>
            <wp:extent cx="5186045" cy="15087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60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544"/>
        <w:spacing w:after="0"/>
        <w:tabs>
          <w:tab w:leader="none" w:pos="66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660" w:right="320" w:hanging="544"/>
        <w:spacing w:after="0" w:line="182" w:lineRule="auto"/>
        <w:tabs>
          <w:tab w:leader="none" w:pos="660" w:val="left"/>
        </w:tabs>
        <w:numPr>
          <w:ilvl w:val="0"/>
          <w:numId w:val="79"/>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tabs>
          <w:tab w:leader="none" w:pos="660" w:val="left"/>
        </w:tabs>
        <w:numPr>
          <w:ilvl w:val="0"/>
          <w:numId w:val="79"/>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I</w:t>
      </w:r>
      <w:r>
        <w:rPr>
          <w:rFonts w:ascii="Arial" w:cs="Arial" w:eastAsia="Arial" w:hAnsi="Arial"/>
          <w:sz w:val="14"/>
          <w:szCs w:val="14"/>
          <w:color w:val="auto"/>
        </w:rPr>
        <w:t>n IND-Enabling Studies, we conduct preclinical studies, in accordance with Good Laboratory Practice, or GLP, required for an IND submission to the FDA.</w:t>
      </w:r>
    </w:p>
    <w:p>
      <w:pPr>
        <w:spacing w:after="0" w:line="7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expect to initially seek approval of our product candidates in most instances, including with PC14586, at least as a second line therapy or for the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PC14586: A Selective Structural Corrector of p53 Y220C Mutations</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p53 is the most widely mutated gene in human cancers. The vast majority of these mutations occur as a result of missense mutations that are found in the DNA binding domain. p53 Y220C mutations are found in approximately 1.0-1.5% of all cancers. This particular mutation is expressed in a large variety of solid tumors, including breast, NSCLC, colorectal, pancreatic and ovarian cancers. Our lead product candidate, PC14586, is designed to be an orally available small molecule that structurally corrects a p53 protein containing the Y220C mutation and restores wild-type p53 function.</w:t>
      </w:r>
    </w:p>
    <w:p>
      <w:pPr>
        <w:spacing w:after="0" w:line="172" w:lineRule="exact"/>
        <w:rPr>
          <w:sz w:val="20"/>
          <w:szCs w:val="20"/>
          <w:color w:val="auto"/>
        </w:rPr>
      </w:pPr>
    </w:p>
    <w:p>
      <w:pPr>
        <w:ind w:left="120" w:right="660" w:firstLine="551"/>
        <w:spacing w:after="0" w:line="276" w:lineRule="auto"/>
        <w:rPr>
          <w:sz w:val="20"/>
          <w:szCs w:val="20"/>
          <w:color w:val="auto"/>
        </w:rPr>
      </w:pPr>
      <w:r>
        <w:rPr>
          <w:rFonts w:ascii="Arial" w:cs="Arial" w:eastAsia="Arial" w:hAnsi="Arial"/>
          <w:sz w:val="18"/>
          <w:szCs w:val="18"/>
          <w:color w:val="auto"/>
        </w:rPr>
        <w:t>Wild-type p53 in a normal cell is at low to undetectable levels, but an external insult such as UV radiation or exposure to a carcinogen results in activation and upregulation of the protein. In these</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320" w:top="455" w:right="5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8"/>
          <w:szCs w:val="18"/>
          <w:color w:val="auto"/>
        </w:rPr>
        <w:t>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70"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 as shown below for the Y220C mutation.</w:t>
      </w:r>
    </w:p>
    <w:p>
      <w:pPr>
        <w:spacing w:after="0" w:line="276" w:lineRule="exact"/>
        <w:rPr>
          <w:sz w:val="20"/>
          <w:szCs w:val="20"/>
          <w:color w:val="auto"/>
        </w:rPr>
      </w:pPr>
    </w:p>
    <w:p>
      <w:pPr>
        <w:jc w:val="center"/>
        <w:ind w:left="460"/>
        <w:spacing w:after="0" w:line="287" w:lineRule="auto"/>
        <w:rPr>
          <w:sz w:val="20"/>
          <w:szCs w:val="20"/>
          <w:color w:val="auto"/>
        </w:rPr>
      </w:pPr>
      <w:r>
        <w:rPr>
          <w:rFonts w:ascii="Arial" w:cs="Arial" w:eastAsia="Arial" w:hAnsi="Arial"/>
          <w:sz w:val="18"/>
          <w:szCs w:val="18"/>
          <w:b w:val="1"/>
          <w:bCs w:val="1"/>
          <w:color w:val="auto"/>
        </w:rPr>
        <w:t>Y220C Mutant Cancer Cell Lines Contain Large Pools of Mutant p53 Y220C Target Protein Relative to Normal (Wild-type p53)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113030</wp:posOffset>
            </wp:positionV>
            <wp:extent cx="5194935" cy="383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9493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PC14586 is an orally available small molecule candidate that is designed to selectively bind to the crevice created by the p53 Y220C mutation, and thereby restore the wild-type p53 protein structure and tumor suppressing function. In the diagram below, wild-type p53 protein is compared with a mutant p53 Y220C protein and a mutant p53 Y220C protein with PC14586 bound in the crevice created by the Y220C mutation. By docking into the crevice created by the Y220C mutation, PC14586 is designed to restore the wild-type p53 conformation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948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 xml:space="preserve">In preclinical studies, we have demonstrated that PC14586 rapidly converts the large protein pool of mutant p53 Y220C protein to wild-type structure. As seen in the graphic below,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study, PC14586 induced conversion of p53 protein from mutant to wild-type conformation in a dose-dependent manner as evidenced by a decrease in mutant p53 and an increase in wild-type p53, while total p53 remains relatively unchanged.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 xml:space="preserve">PC14586 Demonstrated Structural Conversion from Mutant p53 to Wild-type p53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167005</wp:posOffset>
            </wp:positionV>
            <wp:extent cx="2511425" cy="1954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1142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PC14586 selectively binds to the crevice created by the Y220C mutation as this molecule does not bind to wild-type p53 or other p53 mutations, including R273H, R273C, R175H, G245S, R248Q and R282W, as demonstrated by the lack of activity (as measured by p21 and MDM2 gene expression seen in the below diagrams). PC14586 only binds to the crevice created by the Y220C mutation, and none of the other tested p53 hotspot mutations, as illustrated by gene expression changes in the Y220C cell line when PC14586 is added in increasing concentrations.</w:t>
      </w:r>
    </w:p>
    <w:p>
      <w:pPr>
        <w:spacing w:after="0" w:line="172"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Additionally, structural correction from a mutant p53 Y220C conformation to a wild-type p53 conformation by PC14586 restored p53-dependent transcription of downstream targets, which is indicative of wild-type p53 biological activity. For example, as shown in the figures below, p21 and MDM2, two of the downstream targets of p53, were selectively upregulated by PC14586 in a dose-dependent manner in cells where the p53 Y220C mutation was present. Since PC14586 is highly selective for the p53 Y220C mutation, it did not affect expression levels of p21 and MDM2 in tumor cell lines containing wild-type p53, p53 knock-out or other p53 hotspot mutations as noted in the figures below.</w:t>
      </w:r>
    </w:p>
    <w:p>
      <w:pPr>
        <w:spacing w:after="0" w:line="28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PC14586 Induced Transcription of p21 and MDM2 Only in Cell Lines with the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911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604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5" w:right="5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In Vivo Data</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PC14586 exhibited single-agent anti-tumor activity in a dose-dependent manner against mutant p53 Y220C tumors, evidenced by both potent TGI and tumor regression. Oral once-daily dosing over 21 days of PC14586 was well tolerated in nude mice (ten mice per dosing group) bearing p53 Y220C NUGC3 xenograft tumors up to 100 mg/kg, as evidenced by the lack of body weight loss, which is the generally accepted surrogate for toxicity in mice. PC14586 demonstrated dose-dependent TGI at daily doses ranging from 25 mg/kg to 50 mg/kg and robust tumor regression at 100 mg/kg daily.</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PC14586 Single-Agent Administration in NUGC3 Xenograft Model Resulted in Tumor Regression and was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254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In preclinical animal studies, PC14586 exhibited fast absorption and a durable plasma exposure, which resulted in robust target engagement that correlated with compound exposure levels. Target engagement was demonstrated by the decrease in mutant p53 Y220C and the increase in the wild-type conformation.</w:t>
      </w:r>
    </w:p>
    <w:p>
      <w:pPr>
        <w:spacing w:after="0" w:line="16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Along with tumor regression, in acute dose pharmacokinetic/pharmacodynamic, or PK/PD, studies, oral administration of PC14586 to xenograft mice bearing the NUGC3 (p53 Y220C) tumors resulted in conversion of mutant p53 protein to a wild-type p53 structure as illustrated in the figure below.</w:t>
      </w:r>
    </w:p>
    <w:p>
      <w:pPr>
        <w:spacing w:after="0" w:line="16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In the mutant p53 structure chart below, the amount of mutant p53 decreased at 8 hours after PC14586 administration on day 1 (QDx1), and the amount of mutant p53 rose by the 24 hour time point compared to the 8 hour time point in the QDx1 portion of the x-axis. When another dose of PC14586 was administered on day 2 (QDx2), the amount of mutant p53 decreased at the 8 hour time point and rose again by the 24 hour time point. The pattern was repeated on the fourth (QDx4) and sixth day (QDx6) of dosing. In all the PC14586 datapoints, the amount of mutant p53 was less than in the vehicle dosing.</w:t>
      </w:r>
    </w:p>
    <w:p>
      <w:pPr>
        <w:spacing w:after="0" w:line="172"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In the wild-type p53 structure chart below, the amount of wild-type p53 increased at 8 hours after PC14586 administration on day 1 (QDx1) and the amount of wild-type p53 decreased by the 24 hour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time point compared to the 8 hour time point in the QDx1 portion of the x-axis. The pattern was repeated over the second (QDx2), fourth (QDx4) and sixth (QDx6) days of dosing. In all the PC14586 datapoints, the amount of wild-type p53 was greater than in the vehicle dosing.</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When viewed together, the two charts below show an increase in wild-type p53 corresponding to a decrease in mutant p53 at each of the PC14586 administration time points, which indicate the conversion of mutant p53 to wild-type p53 with the administration of PC14586.</w:t>
      </w: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In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Studies, PC14586 Converted Mutant p53 Protein to a Wild-type p53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945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604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Additionally, functional p53 activity in the tumor tissue was also demonstrated (</w:t>
      </w:r>
      <w:r>
        <w:rPr>
          <w:rFonts w:ascii="Arial" w:cs="Arial" w:eastAsia="Arial" w:hAnsi="Arial"/>
          <w:sz w:val="18"/>
          <w:szCs w:val="18"/>
          <w:i w:val="1"/>
          <w:iCs w:val="1"/>
          <w:color w:val="auto"/>
        </w:rPr>
        <w:t>i.e.</w:t>
      </w:r>
      <w:r>
        <w:rPr>
          <w:rFonts w:ascii="Arial" w:cs="Arial" w:eastAsia="Arial" w:hAnsi="Arial"/>
          <w:sz w:val="18"/>
          <w:szCs w:val="18"/>
          <w:color w:val="auto"/>
        </w:rPr>
        <w:t>, the induction of wild-type p53 downstream targets). As illustrated in the figure below, PC14586 was observed to induce the expression of the p53 downstream target MIC-1, a clinically validated secreted biomarker of wild-type p53 activity. The administration of PC14586 was associated with an increase in MIC-1 plasma concentration in comparison to the vehicle dosing.</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PC14586 Increased Plasma Concentration of MIC-1, a Clinically Validated Secreted Biomarker of Wild-type p53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167005</wp:posOffset>
            </wp:positionV>
            <wp:extent cx="1817370" cy="2194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1737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320" w:top="455" w:right="5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We also created a human p53 knock-in, or HUPKI, mouse that expresses a p53 protein with the human p53 DNA binding domain and the p53 Y220C mutation. The HUPKI mouse presents spontaneously with sarcomas at six to eight months of age, which we can harvest and re-implant in a wild-type mouse to create a mouse tumor model that has an intact immune system harboring a human p53 Y220C mutation. We believe this syngeneic mouse model better represents the patient population that we expect to see in the clinic, as compared to mouse xenograft models that incorporate human tumors in mice with no immune system. While some patients with cancer may have weakened immune systems, we believe that few patients have severely or fully dysfunctional immunocompromised systems, and therefore a syngeneic model may better represent the patient population than an immunocompromised mouse model. In addition, with an intact immune system, this model allows us to test anti-tumor activity of PC14586 in combination with immune checkpoint inhibitors.</w:t>
      </w:r>
    </w:p>
    <w:p>
      <w:pPr>
        <w:spacing w:after="0" w:line="168"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As illustrated by the table below, PC14586, administered as a single-agent at a daily oral dose of 100 mg/kg for 70 days, demonstrated regression in tumors that express the p53 Y220C mutation in the syngeneic mouse model. The durability of the response was measured by median survival, where median survival for a 100 mg/kg dose of PC14586 exceeded 156 days, even though drug treatment was discontinued on day 70. This compared with median survival of only 17 days for the vehicle.</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Tumor Regression and Durable Responses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167005</wp:posOffset>
            </wp:positionV>
            <wp:extent cx="4774565" cy="1808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7456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1"/>
        </w:trPr>
        <w:tc>
          <w:tcPr>
            <w:tcW w:w="1240" w:type="dxa"/>
            <w:vAlign w:val="bottom"/>
            <w:tcBorders>
              <w:right w:val="single" w:sz="8" w:color="auto"/>
            </w:tcBorders>
          </w:tcPr>
          <w:p>
            <w:pPr>
              <w:spacing w:after="0"/>
              <w:rPr>
                <w:sz w:val="17"/>
                <w:szCs w:val="17"/>
                <w:color w:val="auto"/>
              </w:rPr>
            </w:pPr>
          </w:p>
        </w:tc>
        <w:tc>
          <w:tcPr>
            <w:tcW w:w="3800" w:type="dxa"/>
            <w:vAlign w:val="bottom"/>
            <w:tcBorders>
              <w:top w:val="single" w:sz="8" w:color="auto"/>
            </w:tcBorders>
            <w:shd w:val="clear" w:color="auto" w:fill="0C0C0C"/>
          </w:tcPr>
          <w:p>
            <w:pPr>
              <w:spacing w:after="0"/>
              <w:rPr>
                <w:sz w:val="17"/>
                <w:szCs w:val="17"/>
                <w:color w:val="auto"/>
              </w:rPr>
            </w:pPr>
          </w:p>
        </w:tc>
        <w:tc>
          <w:tcPr>
            <w:tcW w:w="3680" w:type="dxa"/>
            <w:vAlign w:val="bottom"/>
            <w:tcBorders>
              <w:top w:val="single" w:sz="8" w:color="auto"/>
              <w:right w:val="single" w:sz="8" w:color="auto"/>
            </w:tcBorders>
            <w:shd w:val="clear" w:color="auto" w:fill="0C0C0C"/>
          </w:tcPr>
          <w:p>
            <w:pPr>
              <w:jc w:val="center"/>
              <w:ind w:left="179"/>
              <w:spacing w:after="0"/>
              <w:rPr>
                <w:sz w:val="20"/>
                <w:szCs w:val="20"/>
                <w:color w:val="auto"/>
              </w:rPr>
            </w:pPr>
            <w:r>
              <w:rPr>
                <w:rFonts w:ascii="Arial" w:cs="Arial" w:eastAsia="Arial" w:hAnsi="Arial"/>
                <w:sz w:val="14"/>
                <w:szCs w:val="14"/>
                <w:b w:val="1"/>
                <w:bCs w:val="1"/>
                <w:color w:val="FFFFFF"/>
              </w:rPr>
              <w:t>Median Survival Time</w:t>
            </w:r>
          </w:p>
        </w:tc>
      </w:tr>
      <w:tr>
        <w:trPr>
          <w:trHeight w:val="211"/>
        </w:trPr>
        <w:tc>
          <w:tcPr>
            <w:tcW w:w="1240" w:type="dxa"/>
            <w:vAlign w:val="bottom"/>
            <w:tcBorders>
              <w:right w:val="single" w:sz="8" w:color="auto"/>
            </w:tcBorders>
          </w:tcPr>
          <w:p>
            <w:pPr>
              <w:spacing w:after="0"/>
              <w:rPr>
                <w:sz w:val="18"/>
                <w:szCs w:val="18"/>
                <w:color w:val="auto"/>
              </w:rPr>
            </w:pPr>
          </w:p>
        </w:tc>
        <w:tc>
          <w:tcPr>
            <w:tcW w:w="3800" w:type="dxa"/>
            <w:vAlign w:val="bottom"/>
            <w:tcBorders>
              <w:bottom w:val="single" w:sz="8" w:color="0C0C0C"/>
            </w:tcBorders>
            <w:shd w:val="clear" w:color="auto" w:fill="0C0C0C"/>
          </w:tcPr>
          <w:p>
            <w:pPr>
              <w:jc w:val="center"/>
              <w:ind w:left="56"/>
              <w:spacing w:after="0"/>
              <w:rPr>
                <w:sz w:val="20"/>
                <w:szCs w:val="20"/>
                <w:color w:val="auto"/>
              </w:rPr>
            </w:pPr>
            <w:r>
              <w:rPr>
                <w:rFonts w:ascii="Arial" w:cs="Arial" w:eastAsia="Arial" w:hAnsi="Arial"/>
                <w:sz w:val="14"/>
                <w:szCs w:val="14"/>
                <w:b w:val="1"/>
                <w:bCs w:val="1"/>
                <w:color w:val="FFFFFF"/>
                <w:w w:val="99"/>
              </w:rPr>
              <w:t>Group</w:t>
            </w:r>
          </w:p>
        </w:tc>
        <w:tc>
          <w:tcPr>
            <w:tcW w:w="3680" w:type="dxa"/>
            <w:vAlign w:val="bottom"/>
            <w:tcBorders>
              <w:bottom w:val="single" w:sz="8" w:color="0C0C0C"/>
              <w:right w:val="single" w:sz="8" w:color="auto"/>
            </w:tcBorders>
            <w:shd w:val="clear" w:color="auto" w:fill="0C0C0C"/>
          </w:tcPr>
          <w:p>
            <w:pPr>
              <w:jc w:val="center"/>
              <w:ind w:left="159"/>
              <w:spacing w:after="0"/>
              <w:rPr>
                <w:sz w:val="20"/>
                <w:szCs w:val="20"/>
                <w:color w:val="auto"/>
              </w:rPr>
            </w:pPr>
            <w:r>
              <w:rPr>
                <w:rFonts w:ascii="Arial" w:cs="Arial" w:eastAsia="Arial" w:hAnsi="Arial"/>
                <w:sz w:val="14"/>
                <w:szCs w:val="14"/>
                <w:b w:val="1"/>
                <w:bCs w:val="1"/>
                <w:color w:val="FFFFFF"/>
              </w:rPr>
              <w:t>(Days)</w:t>
            </w:r>
          </w:p>
        </w:tc>
      </w:tr>
      <w:tr>
        <w:trPr>
          <w:trHeight w:val="274"/>
        </w:trPr>
        <w:tc>
          <w:tcPr>
            <w:tcW w:w="1240" w:type="dxa"/>
            <w:vAlign w:val="bottom"/>
            <w:tcBorders>
              <w:right w:val="single" w:sz="8" w:color="auto"/>
            </w:tcBorders>
          </w:tcPr>
          <w:p>
            <w:pPr>
              <w:spacing w:after="0"/>
              <w:rPr>
                <w:sz w:val="23"/>
                <w:szCs w:val="23"/>
                <w:color w:val="auto"/>
              </w:rPr>
            </w:pPr>
          </w:p>
        </w:tc>
        <w:tc>
          <w:tcPr>
            <w:tcW w:w="3800" w:type="dxa"/>
            <w:vAlign w:val="bottom"/>
          </w:tcPr>
          <w:p>
            <w:pPr>
              <w:jc w:val="center"/>
              <w:ind w:left="56"/>
              <w:spacing w:after="0"/>
              <w:rPr>
                <w:sz w:val="20"/>
                <w:szCs w:val="20"/>
                <w:color w:val="auto"/>
              </w:rPr>
            </w:pPr>
            <w:r>
              <w:rPr>
                <w:rFonts w:ascii="Arial" w:cs="Arial" w:eastAsia="Arial" w:hAnsi="Arial"/>
                <w:sz w:val="18"/>
                <w:szCs w:val="18"/>
                <w:color w:val="auto"/>
                <w:w w:val="98"/>
              </w:rPr>
              <w:t>Vehicle</w:t>
            </w:r>
          </w:p>
        </w:tc>
        <w:tc>
          <w:tcPr>
            <w:tcW w:w="3680" w:type="dxa"/>
            <w:vAlign w:val="bottom"/>
            <w:tcBorders>
              <w:right w:val="single" w:sz="8" w:color="auto"/>
            </w:tcBorders>
          </w:tcPr>
          <w:p>
            <w:pPr>
              <w:jc w:val="right"/>
              <w:ind w:right="1539"/>
              <w:spacing w:after="0"/>
              <w:rPr>
                <w:sz w:val="20"/>
                <w:szCs w:val="20"/>
                <w:color w:val="auto"/>
              </w:rPr>
            </w:pPr>
            <w:r>
              <w:rPr>
                <w:rFonts w:ascii="Arial" w:cs="Arial" w:eastAsia="Arial" w:hAnsi="Arial"/>
                <w:sz w:val="18"/>
                <w:szCs w:val="18"/>
                <w:color w:val="auto"/>
              </w:rPr>
              <w:t>17</w:t>
            </w:r>
          </w:p>
        </w:tc>
      </w:tr>
      <w:tr>
        <w:trPr>
          <w:trHeight w:val="37"/>
        </w:trPr>
        <w:tc>
          <w:tcPr>
            <w:tcW w:w="1240" w:type="dxa"/>
            <w:vAlign w:val="bottom"/>
            <w:tcBorders>
              <w:right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254"/>
        </w:trPr>
        <w:tc>
          <w:tcPr>
            <w:tcW w:w="1240" w:type="dxa"/>
            <w:vAlign w:val="bottom"/>
            <w:tcBorders>
              <w:right w:val="single" w:sz="8" w:color="auto"/>
            </w:tcBorders>
          </w:tcPr>
          <w:p>
            <w:pPr>
              <w:spacing w:after="0"/>
              <w:rPr>
                <w:sz w:val="22"/>
                <w:szCs w:val="22"/>
                <w:color w:val="auto"/>
              </w:rPr>
            </w:pPr>
          </w:p>
        </w:tc>
        <w:tc>
          <w:tcPr>
            <w:tcW w:w="3800" w:type="dxa"/>
            <w:vAlign w:val="bottom"/>
          </w:tcPr>
          <w:p>
            <w:pPr>
              <w:jc w:val="center"/>
              <w:ind w:left="76"/>
              <w:spacing w:after="0"/>
              <w:rPr>
                <w:sz w:val="20"/>
                <w:szCs w:val="20"/>
                <w:color w:val="auto"/>
              </w:rPr>
            </w:pPr>
            <w:r>
              <w:rPr>
                <w:rFonts w:ascii="Arial" w:cs="Arial" w:eastAsia="Arial" w:hAnsi="Arial"/>
                <w:sz w:val="18"/>
                <w:szCs w:val="18"/>
                <w:color w:val="auto"/>
                <w:w w:val="99"/>
              </w:rPr>
              <w:t>PC14586 100 mg/kg</w:t>
            </w:r>
          </w:p>
        </w:tc>
        <w:tc>
          <w:tcPr>
            <w:tcW w:w="3680" w:type="dxa"/>
            <w:vAlign w:val="bottom"/>
            <w:tcBorders>
              <w:right w:val="single" w:sz="8" w:color="auto"/>
            </w:tcBorders>
          </w:tcPr>
          <w:p>
            <w:pPr>
              <w:jc w:val="right"/>
              <w:ind w:right="1439"/>
              <w:spacing w:after="0"/>
              <w:rPr>
                <w:sz w:val="20"/>
                <w:szCs w:val="20"/>
                <w:color w:val="auto"/>
              </w:rPr>
            </w:pPr>
            <w:r>
              <w:rPr>
                <w:rFonts w:ascii="Arial" w:cs="Arial" w:eastAsia="Arial" w:hAnsi="Arial"/>
                <w:sz w:val="18"/>
                <w:szCs w:val="18"/>
                <w:color w:val="auto"/>
              </w:rPr>
              <w:t>&gt;156</w:t>
            </w:r>
          </w:p>
        </w:tc>
      </w:tr>
      <w:tr>
        <w:trPr>
          <w:trHeight w:val="37"/>
        </w:trPr>
        <w:tc>
          <w:tcPr>
            <w:tcW w:w="1240" w:type="dxa"/>
            <w:vAlign w:val="bottom"/>
            <w:tcBorders>
              <w:right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429"/>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Note: Dosing ceased on day 70 in the PC14586 arm.</w:t>
            </w:r>
          </w:p>
        </w:tc>
        <w:tc>
          <w:tcPr>
            <w:tcW w:w="3680" w:type="dxa"/>
            <w:vAlign w:val="bottom"/>
          </w:tcPr>
          <w:p>
            <w:pPr>
              <w:spacing w:after="0"/>
              <w:rPr>
                <w:sz w:val="24"/>
                <w:szCs w:val="24"/>
                <w:color w:val="auto"/>
              </w:rPr>
            </w:pPr>
          </w:p>
        </w:tc>
      </w:tr>
    </w:tbl>
    <w:p>
      <w:pPr>
        <w:spacing w:after="0" w:line="176"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PC14586 also exhibited anti-tumor activity in combination with anti-PD-1 therapy in syngeneic mouse models with the human p53 Y220C mutation. The scientific rationale for such a combination comes from the emerging literature suggesting an interplay between p53 and the immune system, which is the key mechanism of action of cancer immunotherapies such as anti-PD-1 antibodies. When PC14586 was administered at a sub-therapeutic daily oral dose of 50 mg/kg for 70 days in combination with a therapeutic dose of a PD-1 antibody, regression of tumors that express the p53 Y220C mutation was observed. As illustrated by the table below, median survival for a sub-therapeutic dose of</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40"/>
        <w:spacing w:after="0" w:line="276" w:lineRule="auto"/>
        <w:rPr>
          <w:sz w:val="20"/>
          <w:szCs w:val="20"/>
          <w:color w:val="auto"/>
        </w:rPr>
      </w:pPr>
      <w:r>
        <w:rPr>
          <w:rFonts w:ascii="Arial" w:cs="Arial" w:eastAsia="Arial" w:hAnsi="Arial"/>
          <w:sz w:val="18"/>
          <w:szCs w:val="18"/>
          <w:color w:val="auto"/>
        </w:rPr>
        <w:t>PC14586 combined with anti-PD-1 treatment exceeded 156 days, even though drug treatment was discontinued on day 70, compared with median survival of only 24 days for anti-PD-1 treatment alone.</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 Anti-PD-1 Combination Showed Regression of Tumor Growth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167005</wp:posOffset>
            </wp:positionV>
            <wp:extent cx="4749165" cy="29317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4916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39"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5740" w:type="dxa"/>
            <w:vAlign w:val="bottom"/>
            <w:tcBorders>
              <w:top w:val="single" w:sz="8" w:color="auto"/>
              <w:left w:val="single" w:sz="8" w:color="auto"/>
              <w:bottom w:val="single" w:sz="8" w:color="0C0C0C"/>
            </w:tcBorders>
            <w:shd w:val="clear" w:color="auto" w:fill="0C0C0C"/>
          </w:tcPr>
          <w:p>
            <w:pPr>
              <w:jc w:val="center"/>
              <w:ind w:left="74"/>
              <w:spacing w:after="0"/>
              <w:rPr>
                <w:sz w:val="20"/>
                <w:szCs w:val="20"/>
                <w:color w:val="auto"/>
              </w:rPr>
            </w:pPr>
            <w:r>
              <w:rPr>
                <w:rFonts w:ascii="Arial" w:cs="Arial" w:eastAsia="Arial" w:hAnsi="Arial"/>
                <w:sz w:val="14"/>
                <w:szCs w:val="14"/>
                <w:b w:val="1"/>
                <w:bCs w:val="1"/>
                <w:color w:val="FFFFFF"/>
                <w:w w:val="99"/>
              </w:rPr>
              <w:t>Group</w:t>
            </w:r>
          </w:p>
        </w:tc>
        <w:tc>
          <w:tcPr>
            <w:tcW w:w="4200" w:type="dxa"/>
            <w:vAlign w:val="bottom"/>
            <w:tcBorders>
              <w:top w:val="single" w:sz="8" w:color="auto"/>
              <w:bottom w:val="single" w:sz="8" w:color="0C0C0C"/>
              <w:right w:val="single" w:sz="8" w:color="auto"/>
            </w:tcBorders>
            <w:shd w:val="clear" w:color="auto" w:fill="0C0C0C"/>
          </w:tcPr>
          <w:p>
            <w:pPr>
              <w:ind w:left="2040"/>
              <w:spacing w:after="0"/>
              <w:rPr>
                <w:sz w:val="20"/>
                <w:szCs w:val="20"/>
                <w:color w:val="auto"/>
              </w:rPr>
            </w:pPr>
            <w:r>
              <w:rPr>
                <w:rFonts w:ascii="Arial" w:cs="Arial" w:eastAsia="Arial" w:hAnsi="Arial"/>
                <w:sz w:val="14"/>
                <w:szCs w:val="14"/>
                <w:b w:val="1"/>
                <w:bCs w:val="1"/>
                <w:color w:val="FFFFFF"/>
              </w:rPr>
              <w:t>Median Survival Time (Days)</w:t>
            </w:r>
          </w:p>
        </w:tc>
      </w:tr>
      <w:tr>
        <w:trPr>
          <w:trHeight w:val="230"/>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8"/>
              </w:rPr>
              <w:t>Vehicle</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17</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24</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PC14586 50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28</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rPr>
              <w:t>PC14586 50 mg/kg + 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8"/>
              </w:rPr>
              <w:t>&gt;156</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Dosing ceased on day 70 in the PC14586 + Anti-PD-1 arm.</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received authorization to proceed under an IND for PC14586 on September 4, 2020 and plan to start a Phase 1/2 clinical trial in the second half of 2020. While we are in the early stages of discovery and development of our product candidates and our novel approach is unproven, we are initially pursuing a tumor-agnostic development strategy. Our strategy is to seek approval under an accelerated pathway, and we believe our Phase 1/2 clinical trial has the potential to serve as a pivotal study. We cannot guarantee that the FDA will agree with this strategy of utilizing the Phase 1/2 clinical trial as a pivotal study, which could require us to conduct additional clinical trials prior to seeking FDA approval. However, based on the pivotal studies conducted by other companies to support the approval of other products, such as studies conducted by Agios (Idhifa) and Blueprint Medicines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 xml:space="preserve">(Ayvakit), as well as the pivotal studies announced by other companies for their product candidates, including Amgen (AMG 510), Mirati (MRTX849) and Black Diamond Therapeutics (BDTX-189), we believe our Phase 1/2 clinical trial has the potential to serve as a pivotal study. In our Phase 1/2 clinical trial, we plan to enroll patients with advanced solid tumors that harbor the p53 Y220C mutation, characterized by NGS of either a solid or blood-based (circulating tumor DNA) biopsy. The study employs an accelerated titration design, with the potential to expedite development of this product candidate by allowing dose escalation in single patients at each dose cohort until a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adverse event is observed. Subsequently in the Phase 1 portion of the trial, we plan to employ a modified toxicity probability interval, or mTPI, approach to identify the MTD.</w:t>
      </w:r>
    </w:p>
    <w:p>
      <w:pPr>
        <w:spacing w:after="0" w:line="17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The Phase 1 portion is designed to evaluate escalating oral doses of PC14586 to determine the MTD and recommended Phase 2 dose of PC14586 when administered orally to patients on a once daily dosing schedule, as well as to assess safety, tolerability and effects on biomarkers such as MIC-1. The Phase 1 portion is also designed to assess preliminary anti-tumor efficacy in patients with advanced solid tumors that have the p53 Y220C mutation. The Phase 1 portion involves dose escalation allowing single patient cohorts until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drug-related adverse events are observed. The study utilizes a mTPI approach to enroll three or more patients per cohort until the MTD is reached and the Phase 2 dose is selected. The trial is planned to primarily evaluate once daily dosing, but may also assess more frequent dosing schedules, such as twice daily, if the drug pharmacology or patient tolerability suggest this could be a more efficacious approach. In the Phase 1 portion, we plan to enroll up to 30 patients with locally advanced or metastatic solid tumors that have the p53 Y220C mutation determined using NGS, whose disease has progressed during or after prior standard of care therapy. Multiple biomarker assays will be used in the trial to assess on target and on mechanism activity, and preliminary clinical efficacy in patients will also be assessed.</w:t>
      </w:r>
    </w:p>
    <w:p>
      <w:pPr>
        <w:spacing w:after="0" w:line="179"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Phase 2 portion of the Phase 1/2 clinical trial is expected to enroll up to 100 patients. We expect to enroll a population with a variety of locally advanced or metastatic cancers including breast, NSCLC, colorectal, pancreatic and ovarian cancer. The planned primary objective of the Phase 2 portion is to evaluate the anti-tumor efficacy of PC14586 in patients with the p53 Y220C mutation, as shown by objective response rate. Other secondary endpoints planned to be assessed include the duration of response, progression free survival, overall survival and endpoints to evaluate the safety and tolerability of PC14586.</w:t>
      </w:r>
    </w:p>
    <w:p>
      <w:pPr>
        <w:spacing w:after="0" w:line="172"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Patient blood and tumor samples will be collected prior to the start of study treatment for retrospective, confirmatory mutation testing using a central clinical trial assay. In addition, blood and tumor samples will be collected and stored to facilitate future development of a companion diagnostic test.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Phase 1/2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3454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8604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If the data from our Phase 1/2 clinical trial show robust activity across the tumor types, we initially intend to pursue an approval from the FDA under the accelerated approval pathway for a tumor-agnostic indication. This strategy is based on approval pathways utilized by pembrolizumab (Keytruda) in MSI-high/dMMR cancers and larotrectinib (Vitrakvi) and entrectinib (Rozlytrek) in NTRK gene fusion cancers. If we observe clinical benefit in certain tumor or cancer types but do not have sufficient data or powering to support a tumor-agnostic indication from the Phase 1/2 clinical trial, we may seek a tumor or cancer specific label and evaluate additional trials to pursue a broader labeling for PC14586. We believe that the results of the Phase 1/2 clinical trial in PC14586 with respect to the endpoints of ORR and DoR, along with the safety data from the clinical trial, have the potential to support approval of a new drug application, or NDA, subject to discussions with FDA and provided we can obtain data from a sufficient sample size across the tumor types. While accelerated approval cannot be guaranteed, if we obtain accelerated approval, we anticipate that the FDA will require the conduct of a post-approval commitment to confirm clinical benefit.</w:t>
      </w:r>
    </w:p>
    <w:p>
      <w:pPr>
        <w:spacing w:after="0" w:line="18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may also seek fast track, orphan drug or breakthrough therapy designation from the FDA. In addition, we may engage in health authority interactions with agencies outside the United States such as in Europe and Japan, for example. We plan to collaborate with a partner to develop a companion diagnostic test. Further, we expect to initially seek approval of our product candidates, in most instances, including with PC14586, at least as a second line therapy. Subsequently, depending on the nature of the clinical data and experience with any approved products or product candidates, if any, we may pursue approval as an earlier line therapy and potentially as a first line therapy.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R273H: Our Second Program</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expect to advance our next program, targeting the p53 R273H hotspot mutation, into lead optimization in the first half of 2021. R273H is the third most frequent p53 mutation and is found in approximately 4% of all p53 mutations. The R273H mutation results from arginine being substituted by a histidine at amino acid position 273 and is considered a DNA contact mutation. DNA contact mutations affect residues involved directly in DNA-p53 binding but do not alter the p53 protein structure. R273 is one of the most frequently altered residues in human cancer (6.4% of all somatic mutations), with the alteration to a histidine (R273H) being the most common of the R273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141605</wp:posOffset>
            </wp:positionV>
            <wp:extent cx="5143500" cy="42176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R273H mutation causes a decrease in binding between the p53 protein and DNA, resulting in its inability to activate transcription of p53 target genes. We are generating molecules designed to enhance and restore the binding of the p53 protein and DNA. Our R273H program continues to progress towards lead optimization, as we have identified potential candidates from our screening campaigns.</w:t>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ind w:left="120" w:right="20" w:firstLine="551"/>
        <w:spacing w:after="0" w:line="306" w:lineRule="auto"/>
        <w:rPr>
          <w:sz w:val="20"/>
          <w:szCs w:val="20"/>
          <w:color w:val="auto"/>
        </w:rPr>
      </w:pPr>
      <w:r>
        <w:rPr>
          <w:rFonts w:ascii="Arial" w:cs="Arial" w:eastAsia="Arial" w:hAnsi="Arial"/>
          <w:sz w:val="17"/>
          <w:szCs w:val="17"/>
          <w:color w:val="auto"/>
        </w:rPr>
        <w:t>In addition to our PC14586 Y220C and R273H programs, we are focused on developing a pipeline of product candidates targeting other p53 hotspot mutations. These programs have been developed internally using our precision oncology platform and expertise.</w:t>
      </w:r>
    </w:p>
    <w:p>
      <w:pPr>
        <w:spacing w:after="0" w:line="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20"/>
          </w:cols>
          <w:pgMar w:left="320" w:top="455" w:right="5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We are able to utilize the same general principles and similar drug discovery methods developed from our PC14586 Y220C program across other p53 hotspot mutations to facilitate the discovery of additional new product candidates. We study the structural and functional properties of the target. We use assays, screens, preclinical model systems and biomarkers to assess and optimize selective small molecules for specific p53 mutants. Specifically, many of the efficiencies from assays and model systems developed for our PC14586 Y220C program are being applied to other p53 hotspot mutations. In addition, the key insights gained from the medicinal chemistry campaigns are being leveraged across other p53 hotspot mutations. By leveraging our team’s depth of expertise around p53, we are positioned to accelerate our efforts to expand the pipeline of therapies that selectively target p53 hotspot mutations.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Competition</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7"/>
          <w:szCs w:val="17"/>
          <w:color w:val="auto"/>
        </w:rPr>
        <w:t>We are a precision oncology company pioneering the discovery and development of small molecule therapies targeting p53 mutations.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p53-MDM2 interaction, which are in various stages of clinical development being tested by Aileron Therapeutics, Ascentage Pharma, Boehringer Ingelheim, Daiichi Sankyo (out-licensed worldwide rights to Rain Therapeutics), Kartos Therapeutics, Novartis and Roche, including testing MDM2 inhibitors in combination with a variety of other anti-cancer agents.</w:t>
      </w:r>
    </w:p>
    <w:p>
      <w:pPr>
        <w:spacing w:after="0" w:line="16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6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Manufacturing</w:t>
      </w:r>
    </w:p>
    <w:p>
      <w:pPr>
        <w:spacing w:after="0" w:line="21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6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Commercialization</w:t>
      </w:r>
    </w:p>
    <w:p>
      <w:pPr>
        <w:spacing w:after="0" w:line="214"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6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8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19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76" w:lineRule="auto"/>
        <w:rPr>
          <w:sz w:val="20"/>
          <w:szCs w:val="20"/>
          <w:color w:val="auto"/>
        </w:rPr>
      </w:pPr>
      <w:r>
        <w:rPr>
          <w:rFonts w:ascii="Arial" w:cs="Arial" w:eastAsia="Arial" w:hAnsi="Arial"/>
          <w:sz w:val="18"/>
          <w:szCs w:val="18"/>
          <w:color w:val="auto"/>
        </w:rPr>
        <w:t>material adverse effect on our business. Even if we are successful in defending against these claims, litigation could result in substantial cost and be a distraction to our management and employees.</w:t>
      </w:r>
    </w:p>
    <w:p>
      <w:pPr>
        <w:spacing w:after="0" w:line="14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7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June 1, 2020, we owned two issued US patents relating to methods of use and composition of matter of PMV compounds, including PC14586, and two pending US patent applications and ten pending foreign patent applications, each of which relates to methods of use and composition of matter of PMV compounds, including PC14586. The two issued US patents are expected to expire in 2037, without taking into account any possible patent term adjustment or extensions. As of June 1, 2020, we owned one pending US patent application relating to methods of use and composition of matter of other PMV compounds.</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14"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United States, the FDA regulates drugs under the Food, Drug and Cosmetic Act, or FDCA, and its implementing regulations.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95" w:lineRule="exact"/>
        <w:rPr>
          <w:sz w:val="20"/>
          <w:szCs w:val="20"/>
          <w:color w:val="auto"/>
        </w:rPr>
      </w:pPr>
    </w:p>
    <w:p>
      <w:pPr>
        <w:ind w:left="880" w:right="520" w:hanging="224"/>
        <w:spacing w:after="0" w:line="276"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requirements and other applicable regulations;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50" w:lineRule="exact"/>
        <w:rPr>
          <w:rFonts w:ascii="Arial" w:cs="Arial" w:eastAsia="Arial" w:hAnsi="Arial"/>
          <w:sz w:val="18"/>
          <w:szCs w:val="18"/>
          <w:color w:val="auto"/>
        </w:rPr>
      </w:pPr>
    </w:p>
    <w:p>
      <w:pPr>
        <w:ind w:left="880" w:right="1040" w:hanging="224"/>
        <w:spacing w:after="0" w:line="27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52" w:lineRule="exact"/>
        <w:rPr>
          <w:rFonts w:ascii="Arial" w:cs="Arial" w:eastAsia="Arial" w:hAnsi="Arial"/>
          <w:sz w:val="17"/>
          <w:szCs w:val="17"/>
          <w:color w:val="auto"/>
        </w:rPr>
      </w:pPr>
    </w:p>
    <w:p>
      <w:pPr>
        <w:ind w:left="880" w:right="500" w:hanging="224"/>
        <w:spacing w:after="0" w:line="27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4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studies assessing the toxicology, pharmacokinetics, pharmacology and pharmacodynamic characteristics of the product;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880" w:right="60" w:hanging="224"/>
        <w:spacing w:after="0" w:line="263" w:lineRule="auto"/>
        <w:tabs>
          <w:tab w:leader="none" w:pos="8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62" w:lineRule="exact"/>
        <w:rPr>
          <w:rFonts w:ascii="Arial" w:cs="Arial" w:eastAsia="Arial" w:hAnsi="Arial"/>
          <w:sz w:val="17"/>
          <w:szCs w:val="17"/>
          <w:color w:val="auto"/>
        </w:rPr>
      </w:pPr>
    </w:p>
    <w:p>
      <w:pPr>
        <w:ind w:left="880" w:right="140" w:hanging="224"/>
        <w:spacing w:after="0" w:line="248"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5" w:lineRule="exact"/>
        <w:rPr>
          <w:rFonts w:ascii="Arial" w:cs="Arial" w:eastAsia="Arial" w:hAnsi="Arial"/>
          <w:sz w:val="18"/>
          <w:szCs w:val="18"/>
          <w:color w:val="auto"/>
        </w:rPr>
      </w:pPr>
    </w:p>
    <w:p>
      <w:pPr>
        <w:ind w:left="880" w:right="180" w:hanging="224"/>
        <w:spacing w:after="0" w:line="248"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7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7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5" w:right="49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45" w:lineRule="auto"/>
        <w:rPr>
          <w:sz w:val="20"/>
          <w:szCs w:val="20"/>
          <w:color w:val="auto"/>
        </w:rPr>
      </w:pPr>
      <w:r>
        <w:rPr>
          <w:rFonts w:ascii="Arial" w:cs="Arial" w:eastAsia="Arial" w:hAnsi="Arial"/>
          <w:sz w:val="18"/>
          <w:szCs w:val="18"/>
          <w:color w:val="auto"/>
        </w:rPr>
        <w:t>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74"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If the coronavirus disease 2019, or COVID-19, pandemic continues, our clinical trial plans and future planned clinical trials may be adversely affected, delayed or interrupted. We may be required to develop and implement additional clinical trial policies and procedures designed to help protect subjects participating in clinical trials during the COVID-19 pandemic. For example, in March 2020, as amended and updated from time to time, the FDA issued a guidance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8"/>
          <w:szCs w:val="18"/>
          <w:i w:val="1"/>
          <w:iCs w:val="1"/>
          <w:color w:val="auto"/>
        </w:rPr>
        <w:t>e.g.</w:t>
      </w:r>
      <w:r>
        <w:rPr>
          <w:rFonts w:ascii="Arial" w:cs="Arial" w:eastAsia="Arial" w:hAnsi="Arial"/>
          <w:sz w:val="18"/>
          <w:szCs w:val="18"/>
          <w:color w:val="auto"/>
        </w:rPr>
        <w:t>, participant discontinuation from investigational product and/or study, alternative procedures used to collect critical safety and/or efficacy data) on the safety and efficacy results reported for the trial.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3"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6"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40"/>
        <w:spacing w:after="0" w:line="276" w:lineRule="auto"/>
        <w:rPr>
          <w:sz w:val="20"/>
          <w:szCs w:val="20"/>
          <w:color w:val="auto"/>
        </w:rPr>
      </w:pPr>
      <w:r>
        <w:rPr>
          <w:rFonts w:ascii="Arial" w:cs="Arial" w:eastAsia="Arial" w:hAnsi="Arial"/>
          <w:sz w:val="18"/>
          <w:szCs w:val="18"/>
          <w:color w:val="auto"/>
        </w:rPr>
        <w:t>approval and priority review, which can also be granted to the same drug if relevant criteria are met. If a product is designated as breakthrough therapy, the FDA will work to expedite the development and review of such drug.</w:t>
      </w:r>
    </w:p>
    <w:p>
      <w:pPr>
        <w:spacing w:after="0" w:line="145"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880" w:right="320" w:hanging="224"/>
        <w:spacing w:after="0" w:line="27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17"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60"/>
          </w:cols>
          <w:pgMar w:left="320" w:top="455" w:right="51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0" w:hanging="224"/>
        <w:spacing w:after="0" w:line="27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83"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Drugs</w:t>
      </w:r>
    </w:p>
    <w:p>
      <w:pPr>
        <w:spacing w:after="0" w:line="10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17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168"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spacing w:after="0" w:line="306" w:lineRule="auto"/>
        <w:rPr>
          <w:sz w:val="20"/>
          <w:szCs w:val="20"/>
          <w:color w:val="auto"/>
        </w:rPr>
      </w:pPr>
      <w:r>
        <w:rPr>
          <w:rFonts w:ascii="Arial" w:cs="Arial" w:eastAsia="Arial" w:hAnsi="Arial"/>
          <w:sz w:val="17"/>
          <w:szCs w:val="17"/>
          <w:color w:val="auto"/>
        </w:rPr>
        <w:t>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0" w:lineRule="exact"/>
        <w:rPr>
          <w:sz w:val="20"/>
          <w:szCs w:val="20"/>
          <w:color w:val="auto"/>
        </w:rPr>
      </w:pPr>
    </w:p>
    <w:p>
      <w:pPr>
        <w:jc w:val="both"/>
        <w:ind w:left="120" w:right="260" w:firstLine="551"/>
        <w:spacing w:after="0" w:line="245"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5" w:right="49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3" w:lineRule="auto"/>
        <w:rPr>
          <w:sz w:val="20"/>
          <w:szCs w:val="20"/>
          <w:color w:val="auto"/>
        </w:rPr>
      </w:pPr>
      <w:r>
        <w:rPr>
          <w:rFonts w:ascii="Arial" w:cs="Arial" w:eastAsia="Arial" w:hAnsi="Arial"/>
          <w:sz w:val="18"/>
          <w:szCs w:val="18"/>
          <w:color w:val="auto"/>
        </w:rPr>
        <w:t>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7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177"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60"/>
        <w:spacing w:after="0" w:line="243" w:lineRule="auto"/>
        <w:rPr>
          <w:sz w:val="20"/>
          <w:szCs w:val="20"/>
          <w:color w:val="auto"/>
        </w:rPr>
      </w:pPr>
      <w:r>
        <w:rPr>
          <w:rFonts w:ascii="Arial" w:cs="Arial" w:eastAsia="Arial" w:hAnsi="Arial"/>
          <w:sz w:val="18"/>
          <w:szCs w:val="18"/>
          <w:color w:val="auto"/>
        </w:rPr>
        <w:t>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7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 and JOBS Act, or Tax Act, which eliminated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effective April 1, 2013. The CARES Act, which was signed into law on March 27, 2020, and designed to provide financial support and resources to individuals and businesses affected by COVID-19 pandemic, suspended the 2% Medicare sequester from May 1, 2020, through December 31, 2020, and extended the sequester by one year, through 2030, in order to offset the 2020 suspension.</w:t>
      </w:r>
    </w:p>
    <w:p>
      <w:pPr>
        <w:spacing w:after="0" w:line="17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other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it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Approval and Regulation of Companion Diagnostics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product candidates will utilize the PMA pathway.</w:t>
      </w:r>
    </w:p>
    <w:p>
      <w:pPr>
        <w:spacing w:after="0" w:line="176"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 -consuming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77"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 xml:space="preserve">In August 2014, the FDA issued final guidance clarifying the requirements that will apply to approval of therapeutic products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companion diagnostics. According to the guidance, if FDA determines that a companion diagnostic device is essential to the safe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Employees</w:t>
      </w:r>
    </w:p>
    <w:p>
      <w:pPr>
        <w:spacing w:after="0" w:line="214"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As of September 18, 2020, we had 39 full-time employees, including 15 employees with Ph.D., M.D. or Pharm.D. degrees. Of these full-time employees, 32 employees are engaged in research and development activities.</w:t>
      </w:r>
    </w:p>
    <w:p>
      <w:pPr>
        <w:spacing w:after="0" w:line="145" w:lineRule="exact"/>
        <w:rPr>
          <w:sz w:val="20"/>
          <w:szCs w:val="20"/>
          <w:color w:val="auto"/>
        </w:rPr>
      </w:pPr>
    </w:p>
    <w:p>
      <w:pPr>
        <w:ind w:left="120" w:right="780" w:firstLine="551"/>
        <w:spacing w:after="0" w:line="276"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consider our relationship with our employees to be good.</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Facilities</w:t>
      </w:r>
    </w:p>
    <w:p>
      <w:pPr>
        <w:spacing w:after="0" w:line="214"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Our corporate headquarters is located at 8 Clarke Drive, Cranbury, New Jersey 08512, where we lease a facility containing 18,446 square feet of office and laboratory space pursuant to a lease agreement that expires in June 2022. We also lease 6,297 square feet of laboratory space at 3000 Eastpark, South Brunswick, New Jersey 08512 pursuant to a that expires in July 2022. Finally, we lease 3,292 square feet of office space at 420 Bedford Drive, Lexington, Massachusetts 02420 pursuant to a lease that expires in August 2023, with an option to extend for an additional three years.</w:t>
      </w:r>
    </w:p>
    <w:p>
      <w:pPr>
        <w:spacing w:after="0" w:line="172" w:lineRule="exact"/>
        <w:rPr>
          <w:sz w:val="20"/>
          <w:szCs w:val="20"/>
          <w:color w:val="auto"/>
        </w:rPr>
      </w:pPr>
    </w:p>
    <w:p>
      <w:pPr>
        <w:ind w:left="120" w:right="820" w:firstLine="551"/>
        <w:spacing w:after="0" w:line="276" w:lineRule="auto"/>
        <w:rPr>
          <w:sz w:val="20"/>
          <w:szCs w:val="20"/>
          <w:color w:val="auto"/>
        </w:rPr>
      </w:pPr>
      <w:r>
        <w:rPr>
          <w:rFonts w:ascii="Arial" w:cs="Arial" w:eastAsia="Arial" w:hAnsi="Arial"/>
          <w:sz w:val="18"/>
          <w:szCs w:val="18"/>
          <w:color w:val="auto"/>
        </w:rPr>
        <w:t>We believe that our current facilities are adequate for our current needs and that suitable additional or substitute space at commercially reasonable terms will be available as needed to accommodate any future expansion of our operations.</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Proceedings</w:t>
      </w:r>
    </w:p>
    <w:p>
      <w:pPr>
        <w:spacing w:after="0" w:line="214"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As of the date of this prospectus, we were not a party to any material legal matters or claims. In the future, we may become party to legal matters and claims in the ordinary course of business, the resolution of which we do not anticipate would have a material adverse impact on our financial position, results of operations or cash flows.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214"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The following table sets forth the names, ages and positions of our executive officers, directors and key employees as of the date of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4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Age</w:t>
            </w:r>
          </w:p>
        </w:tc>
        <w:tc>
          <w:tcPr>
            <w:tcW w:w="140" w:type="dxa"/>
            <w:vAlign w:val="bottom"/>
          </w:tcPr>
          <w:p>
            <w:pPr>
              <w:spacing w:after="0"/>
              <w:rPr>
                <w:sz w:val="17"/>
                <w:szCs w:val="17"/>
                <w:color w:val="auto"/>
              </w:rPr>
            </w:pPr>
          </w:p>
        </w:tc>
        <w:tc>
          <w:tcPr>
            <w:tcW w:w="6660" w:type="dxa"/>
            <w:vAlign w:val="bottom"/>
          </w:tcPr>
          <w:p>
            <w:pPr>
              <w:ind w:left="3040"/>
              <w:spacing w:after="0"/>
              <w:rPr>
                <w:sz w:val="20"/>
                <w:szCs w:val="20"/>
                <w:color w:val="auto"/>
              </w:rPr>
            </w:pPr>
            <w:r>
              <w:rPr>
                <w:rFonts w:ascii="Arial" w:cs="Arial" w:eastAsia="Arial" w:hAnsi="Arial"/>
                <w:sz w:val="14"/>
                <w:szCs w:val="14"/>
                <w:b w:val="1"/>
                <w:bCs w:val="1"/>
                <w:color w:val="auto"/>
              </w:rPr>
              <w:t>Position</w:t>
            </w:r>
          </w:p>
        </w:tc>
      </w:tr>
      <w:tr>
        <w:trPr>
          <w:trHeight w:val="176"/>
        </w:trPr>
        <w:tc>
          <w:tcPr>
            <w:tcW w:w="38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60" w:type="dxa"/>
            <w:vAlign w:val="bottom"/>
            <w:tcBorders>
              <w:top w:val="single" w:sz="8" w:color="auto"/>
            </w:tcBorders>
            <w:shd w:val="clear" w:color="auto" w:fill="CCEEFF"/>
          </w:tcPr>
          <w:p>
            <w:pPr>
              <w:spacing w:after="0"/>
              <w:rPr>
                <w:sz w:val="15"/>
                <w:szCs w:val="15"/>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David H. Mack,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Winston Kung</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Chief Operating Officer and Chief Financial Officer</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Leila Alland, M.D.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Deepika Jalota, Pharm.D.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Senior Vice President, Regulatory Affairs and Quality Assurance</w:t>
            </w:r>
          </w:p>
        </w:tc>
      </w:tr>
      <w:tr>
        <w:trPr>
          <w:trHeight w:val="310"/>
        </w:trPr>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Heyman, Ph.D</w:t>
            </w:r>
            <w:r>
              <w:rPr>
                <w:rFonts w:ascii="Arial" w:cs="Arial" w:eastAsia="Arial" w:hAnsi="Arial"/>
                <w:sz w:val="15"/>
                <w:szCs w:val="15"/>
                <w:color w:val="auto"/>
              </w:rPr>
              <w:t>(1)(2)(3)</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 and Chairman of the Board of Directors</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Arnold Levine,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81</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Arnold Oronsky, Ph.D.</w:t>
            </w:r>
            <w:r>
              <w:rPr>
                <w:rFonts w:ascii="Arial" w:cs="Arial" w:eastAsia="Arial" w:hAnsi="Arial"/>
                <w:sz w:val="15"/>
                <w:szCs w:val="15"/>
                <w:color w:val="auto"/>
              </w:rPr>
              <w:t>(2)</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r>
              <w:rPr>
                <w:rFonts w:ascii="Arial" w:cs="Arial" w:eastAsia="Arial" w:hAnsi="Arial"/>
                <w:sz w:val="15"/>
                <w:szCs w:val="15"/>
                <w:color w:val="auto"/>
              </w:rPr>
              <w:t>(1)(3)</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Laurie Stelzer</w:t>
            </w:r>
            <w:r>
              <w:rPr>
                <w:rFonts w:ascii="Arial" w:cs="Arial" w:eastAsia="Arial" w:hAnsi="Arial"/>
                <w:sz w:val="15"/>
                <w:szCs w:val="15"/>
                <w:color w:val="auto"/>
              </w:rPr>
              <w:t>(1)</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53</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43"/>
        </w:trPr>
        <w:tc>
          <w:tcPr>
            <w:tcW w:w="3800" w:type="dxa"/>
            <w:vAlign w:val="bottom"/>
            <w:gridSpan w:val="2"/>
          </w:tcPr>
          <w:p>
            <w:pPr>
              <w:spacing w:after="0"/>
              <w:rPr>
                <w:sz w:val="20"/>
                <w:szCs w:val="20"/>
                <w:color w:val="auto"/>
              </w:rPr>
            </w:pPr>
            <w:r>
              <w:rPr>
                <w:rFonts w:ascii="Arial" w:cs="Arial" w:eastAsia="Arial" w:hAnsi="Arial"/>
                <w:sz w:val="18"/>
                <w:szCs w:val="18"/>
                <w:color w:val="auto"/>
              </w:rPr>
              <w:t>Peter Thompson, M.D.</w:t>
            </w:r>
            <w:r>
              <w:rPr>
                <w:rFonts w:ascii="Arial" w:cs="Arial" w:eastAsia="Arial" w:hAnsi="Arial"/>
                <w:sz w:val="15"/>
                <w:szCs w:val="15"/>
                <w:color w:val="auto"/>
              </w:rPr>
              <w:t>(2)(3)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68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68"/>
        </w:trPr>
        <w:tc>
          <w:tcPr>
            <w:tcW w:w="40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60" w:type="dxa"/>
            <w:vAlign w:val="bottom"/>
          </w:tcPr>
          <w:p>
            <w:pPr>
              <w:spacing w:after="0"/>
              <w:rPr>
                <w:sz w:val="5"/>
                <w:szCs w:val="5"/>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Key Employees: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60" w:type="dxa"/>
            <w:vAlign w:val="bottom"/>
            <w:shd w:val="clear" w:color="auto" w:fill="CCEEFF"/>
          </w:tcPr>
          <w:p>
            <w:pPr>
              <w:spacing w:after="0"/>
              <w:rPr>
                <w:sz w:val="17"/>
                <w:szCs w:val="17"/>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Michael Carulli</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Vice President, Finance</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Melissa Dumble,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Preclinical Development and Translational Science</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Robert Ticktin</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59</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General Counsel</w:t>
            </w:r>
          </w:p>
        </w:tc>
      </w:tr>
      <w:tr>
        <w:trPr>
          <w:trHeight w:val="202"/>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Binh Vu,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Drug Discovery and Chemistry, Manufacturing and Controls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424"/>
        <w:spacing w:after="0" w:line="187" w:lineRule="auto"/>
        <w:tabs>
          <w:tab w:leader="none" w:pos="540" w:val="left"/>
        </w:tabs>
        <w:numPr>
          <w:ilvl w:val="0"/>
          <w:numId w:val="85"/>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424"/>
        <w:spacing w:after="0" w:line="183" w:lineRule="auto"/>
        <w:tabs>
          <w:tab w:leader="none" w:pos="540" w:val="left"/>
        </w:tabs>
        <w:numPr>
          <w:ilvl w:val="0"/>
          <w:numId w:val="85"/>
        </w:numPr>
        <w:rPr>
          <w:rFonts w:ascii="Arial" w:cs="Arial" w:eastAsia="Arial" w:hAnsi="Arial"/>
          <w:sz w:val="20"/>
          <w:szCs w:val="20"/>
          <w:color w:val="auto"/>
          <w:vertAlign w:val="superscript"/>
        </w:rPr>
      </w:pPr>
      <w:r>
        <w:rPr>
          <w:rFonts w:ascii="Arial" w:cs="Arial" w:eastAsia="Arial" w:hAnsi="Arial"/>
          <w:sz w:val="12"/>
          <w:szCs w:val="12"/>
          <w:color w:val="auto"/>
        </w:rPr>
        <w:t>Member of the corporate governance and nominating committee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b w:val="1"/>
          <w:bCs w:val="1"/>
          <w:color w:val="auto"/>
        </w:rPr>
        <w:t xml:space="preserve">David H. Mack, Ph.D. </w:t>
      </w:r>
      <w:r>
        <w:rPr>
          <w:rFonts w:ascii="Arial" w:cs="Arial" w:eastAsia="Arial" w:hAnsi="Arial"/>
          <w:sz w:val="18"/>
          <w:szCs w:val="18"/>
          <w:color w:val="auto"/>
        </w:rPr>
        <w:t>has served as a member of our board of directors since June 2013 and as our Chief Executive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since July 2013. Previously, Dr. Mack was a general partner at Alta Partners, a venture capital firm focusing on investments in biotechnology and life sciences companies, from 2002 to 2012.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is a member of the board of directors of Aduro BioTech (NASDAQ: ADRO), a biopharmaceutical company. Dr. Mack has co-authored more than 30 scientific articles and reviews, including papers published in Cell, Science, 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b w:val="1"/>
          <w:bCs w:val="1"/>
          <w:color w:val="auto"/>
        </w:rPr>
        <w:t xml:space="preserve">Winston Kung </w:t>
      </w:r>
      <w:r>
        <w:rPr>
          <w:rFonts w:ascii="Arial" w:cs="Arial" w:eastAsia="Arial" w:hAnsi="Arial"/>
          <w:sz w:val="18"/>
          <w:szCs w:val="18"/>
          <w:color w:val="auto"/>
        </w:rPr>
        <w:t>has served as our Chief Operating Officer and Chief Financial Officer since December 2017. From April 2013 to</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2017, Mr. Kung worked at Celgene Corporation, a global biopharmaceutical company, where he held multiple positions, including Vice President of Business Development and Global Alliances, and Chief Business Officer at Celgene Cellular Therapeutics (a wholly-owned subsidiary of Celgene Corporation). At Celgene, Mr. Kung led the formation of a strategic long-range plan for the company, along with overseeing multiple transactions and a team that managed the company’s alliance portfolio of over 100 collaborations, equity investments and company integrations. Prior to working at Celgene, Mr. Kung worked at Citigroup from June 2010 to April 2013 in its Global Healthcare Investment Banking group and at Lehman Brothers (which was subsequently acquired by Barclays) from May 2007 to June 2010 in its Global Mergers and Acquisition Group. At Citigroup and Barclays, Mr. Kung worked on various transactions including public and private financings, merger and acquisitions, spin-outs and other financial advisory engagements. From August 2004 to May 2007, Mr. Kung worked at Amgen (NASDAQ: AMGN), a global biopharmaceutical company, as a co-founder of the Alliance Management group, and served as the deal lead on multiple acquisitions as part of the Corporate Development group. Mr. Kung also worked at Genentech, a biotechnology company (acquired by Roche), from November 1999 to September 2002 as part of the Business and Corporate Development group. Mr. Kung previously served on the board of directors of Alliqua BioMedicial (NASDAQ: ALQA) and GNS Healthcare, a private, healthcare artificial intelligence company. Mr. Kung received a B.A. in Biology and International Relations from Brown University and a MBA from Harvard Business School.</w:t>
      </w:r>
    </w:p>
    <w:p>
      <w:pPr>
        <w:spacing w:after="0" w:line="175"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b w:val="1"/>
          <w:bCs w:val="1"/>
          <w:color w:val="auto"/>
        </w:rPr>
        <w:t xml:space="preserve">Leila Alland, M.D. </w:t>
      </w:r>
      <w:r>
        <w:rPr>
          <w:rFonts w:ascii="Arial" w:cs="Arial" w:eastAsia="Arial" w:hAnsi="Arial"/>
          <w:sz w:val="17"/>
          <w:szCs w:val="17"/>
          <w:color w:val="auto"/>
        </w:rPr>
        <w:t>has served as our Chief Medical Officer since December 2019. From March 2018 to November 2019, Dr. Alland</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the Chief Medical Officer at Affimed, a clinical stage immune-oncology company. Dr. Alland served as the Chief Medical Officer at Tarveda Therapeutics, a biotechnology company, from January 2016 to March 2018. Previously, Dr. Alland served as the Vice President and Head of Oncology Early Clinical Development at AstraZeneca (NYSE: AZN) from October 2013 to December 2015. Dr. Alland has also held leadership positions at Bristol-Myers Squibb (NYSE: BMY) from April 2006 to September 2013, Novartis from November 2003 to March 2006 and Schering-Plough from June 2001 to November 2003, where she worked on a broad range of oncology products from early to late stage development and contributed to multiple successful drug approvals. From September 1994 to June 2000, Dr. Alland served as Assistant Professor of Pediatrics at Albert Einstein College of Medicine, where she was awarded the James S. McDonnell Foundation Scholar Award and pursued basic cancer research. Dr. Alland sits on the Scientific Advisory Council of Columbia University’s Center for Radiological Research and serves as a reviewer for the Cancer Prevention and Research Institute of Texas. Dr. Alland serves as a member of the board of directors of Cytovia Therapeutics. Dr. Alland received a B.A. in Biology from the University of Pennsylvania and a M.D. from New York University School of Medicine. Dr. Alland completed her residency in Pediatrics at The Children’s Hospital of Philadelphia and her fellowship in Pediatric Hematology/Oncology at The New York Hospital and Memorial Sloan-Kettering Cancer Center.</w:t>
      </w:r>
    </w:p>
    <w:p>
      <w:pPr>
        <w:spacing w:after="0" w:line="170"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b w:val="1"/>
          <w:bCs w:val="1"/>
          <w:color w:val="auto"/>
        </w:rPr>
        <w:t xml:space="preserve">Deepika Jalota, Pharm.D. </w:t>
      </w:r>
      <w:r>
        <w:rPr>
          <w:rFonts w:ascii="Arial" w:cs="Arial" w:eastAsia="Arial" w:hAnsi="Arial"/>
          <w:sz w:val="18"/>
          <w:szCs w:val="18"/>
          <w:color w:val="auto"/>
        </w:rPr>
        <w:t>has served as our Senior Vice President, Regulatory Affairs and Quality Assurance since June 2019.</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Dr. Jalota was employed by Bayer HealthCare Pharmaceuticals from July 2007 to May 2019 and held multiple leadership positions within Global Regulatory Affairs in oncology and other therapeutic areas.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Sanofi-Aventis, Forest Laboratories and Procter and Gamble. Dr. Jalota received a B.S. in Pharmacy from Rutgers University, Ernest Mario School of Pharmacy and a Pharm.D. from the University of Florida, College of Pharmacy.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b w:val="1"/>
          <w:bCs w:val="1"/>
          <w:color w:val="auto"/>
        </w:rPr>
        <w:t xml:space="preserve">Richard Heyman, Ph.D. </w:t>
      </w:r>
      <w:r>
        <w:rPr>
          <w:rFonts w:ascii="Arial" w:cs="Arial" w:eastAsia="Arial" w:hAnsi="Arial"/>
          <w:sz w:val="18"/>
          <w:szCs w:val="18"/>
          <w:color w:val="auto"/>
        </w:rPr>
        <w:t>has served as a member of our board of directors and as our Chairman of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 Dr. Heyman has served on the board of directors of ORIC Pharmaceuticals (NASDAQ: ORIC), a clinical-stage biopharmaceutical company, since March 2015 and was appointed the chairman of the board of directors in May 2018. Dr Heyman also served as ORIC Pharmaceuticals’s President and Chief Executive Officer, from November 2015 to May 2016, and as Acting President and Chief Executive Officer, from November 2017 to May 2018. Since June 2015, he has served as the Executive Chairman and Co-Founder of Metacrine, a private biotechnology company. Since 2019, Dr. Heyman has served as a venture partner for Arch Ventures, a venture capital firm. From August 2013 to April 2015, Dr. Heyman served as President and Chief Executive Officer of Seragon Pharmaceutical, which was acquired by Roche Genentech in 2014. Prior to that, he served as Co-Founder, President and Chief Executive Officer of Aragon Pharmaceuticals, a biotechnology company that was acquired by Johnson &amp; Johnson (NYSE: JNJ), a medical device, pharmaceutical and consumer packaged goods company, in 2013. Dr. Heyman currently also serves on the board of directors of Gritstone Oncology (NASDAQ: GRTS), an oncology company. He is Vice Chair of the Board of Trustees at the Salk Institute and serves on the Board Foundation for the American Association for Cancer Research and on the executive committee at the University of California at San Diego Moores Cancer Center. Dr. Heyman received a B.S. in Chemistry from the University of Connecticut and a Ph.D. in Pharmacology from the University of Minnesota. We believe that Dr. Heyman is qualified to serve on our board of directors because of his perspective having served as both an executive and director of similar corporations, including public companies, his scientific background and his extensive career in the biotechnology industry.</w:t>
      </w:r>
    </w:p>
    <w:p>
      <w:pPr>
        <w:spacing w:after="0" w:line="18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b w:val="1"/>
          <w:bCs w:val="1"/>
          <w:color w:val="auto"/>
        </w:rPr>
        <w:t xml:space="preserve">Arnold Levine, Ph.D. </w:t>
      </w:r>
      <w:r>
        <w:rPr>
          <w:rFonts w:ascii="Arial" w:cs="Arial" w:eastAsia="Arial" w:hAnsi="Arial"/>
          <w:sz w:val="18"/>
          <w:szCs w:val="18"/>
          <w:color w:val="auto"/>
        </w:rPr>
        <w:t>has served as a member of our board of directors since June 2013. Since 2011, Dr. Levine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Professor Emeritus at The Simons Center for Systems Biology at the Institute for Advanced Study in Princeton, New Jersey, an institute he helped establish. Dr. Levine trained as a Postdoctoral Fellow at California Institute of Technology in the laboratory of Robert Sinsheimer. Dr. Levine is a widely acclaimed leader in cancer research. Dr. Levine currently serves on the board of directors of Meira GTX (NASDAQ: MGTX), a clinical-stage gene therapy company, GeneCentric Therapeutics, a private biomarker producer, and Chugai Pharmabody Research, a subsidiary of Chugai Pharmaceutical focused on utilizing proprietary antibody engineering technologies.</w:t>
      </w:r>
    </w:p>
    <w:p>
      <w:pPr>
        <w:spacing w:after="0" w:line="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Dr. Levine previously was a member of the board of directors of Adaptive Biotechnologies (NASDAQ: ADPT), a commercial-stage biotechnology company. In 1979, 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 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 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w:t>
      </w:r>
    </w:p>
    <w:p>
      <w:pPr>
        <w:spacing w:after="0" w:line="180" w:lineRule="exact"/>
        <w:rPr>
          <w:sz w:val="20"/>
          <w:szCs w:val="20"/>
          <w:color w:val="auto"/>
        </w:rPr>
      </w:pPr>
    </w:p>
    <w:p>
      <w:pPr>
        <w:ind w:left="120" w:right="200" w:firstLine="551"/>
        <w:spacing w:after="0" w:line="278" w:lineRule="auto"/>
        <w:rPr>
          <w:sz w:val="20"/>
          <w:szCs w:val="20"/>
          <w:color w:val="auto"/>
        </w:rPr>
      </w:pPr>
      <w:r>
        <w:rPr>
          <w:rFonts w:ascii="Arial" w:cs="Arial" w:eastAsia="Arial" w:hAnsi="Arial"/>
          <w:sz w:val="18"/>
          <w:szCs w:val="18"/>
          <w:b w:val="1"/>
          <w:bCs w:val="1"/>
          <w:color w:val="auto"/>
        </w:rPr>
        <w:t xml:space="preserve">Arnold Oronsky, Ph.D. </w:t>
      </w:r>
      <w:r>
        <w:rPr>
          <w:rFonts w:ascii="Arial" w:cs="Arial" w:eastAsia="Arial" w:hAnsi="Arial"/>
          <w:sz w:val="18"/>
          <w:szCs w:val="18"/>
          <w:color w:val="auto"/>
        </w:rPr>
        <w:t>has served as a member of our board of directors since July 2013. Dr. Oronsky is a Managing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InterWest Venture Management Company, a venture capital firm</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investing primarily in information technology and healthcare companies. Dr. Oronsky has worked at InterWest Partners since 1994. In addition, Dr. Oronsky also serves as a Senior Lecturer in the Department of Medicine at Johns Hopkins Medical School. Prior to joining InterWest Partners, Dr. Oronsky served as the Vice President for discovery research of the Lederle Laboratories division of American Cyanamid Company, where he directed the research for new drugs. Dr. Oronsky has published over 125 scientific articles and has served on the board of directors of Centrexion Therapeutics since 2013, Dynavax Technologies (NASDAQ: DVAX) since 1996, Epicent Rx since 2003, KalVista Pharmaceuticals (NASDAQ: KALV) since 2016, Prothex Pharmaceuticals since 2007 and Sera Prognostics since 2015. Dr. Oronsky previously served as a director of Applied Genetic Technologies (NASDAQ: AGTC) from 2003 to 2017 and Tesaro, a biopharmaceutical company acquired by GSK, from 2011 to 2018. Dr. Oronsky received a A.B. degree in History from New York University and a Ph.D. in Immunology from Columbia University. We believe Dr. Oronsky is qualified to serve on our board of directors because of his experience in the healthcare industry as well as his prior experience on the boards of U.S. private and public companies.</w:t>
      </w:r>
    </w:p>
    <w:p>
      <w:pPr>
        <w:spacing w:after="0" w:line="178"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color w:val="auto"/>
        </w:rPr>
        <w:t xml:space="preserve">Thilo Schroeder, Ph.D. </w:t>
      </w:r>
      <w:r>
        <w:rPr>
          <w:rFonts w:ascii="Arial" w:cs="Arial" w:eastAsia="Arial" w:hAnsi="Arial"/>
          <w:sz w:val="18"/>
          <w:szCs w:val="18"/>
          <w:color w:val="auto"/>
        </w:rPr>
        <w:t>has served as a member of our board of directors since November 2019. Dr. Schroeder is a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Nextech Invest Ltd. and has worked there since July 2012. Dr. Schroeder began his career at the pioneering cancer immunology company Micromet (acquired by Amgen) while studying at Ecole Supérieure de Biotechnologie de Strasbourg (ESBS) and conducting research at the University of Sydney. Dr. Schroeder currently serves as a member of the board of directors of Revolution Medicines (NASDAQ: RVMD), IDEAYA Biosciences (NASDAQ: IDYA), Circle Pharma, Silverback Therapeutics and MOMA Therapeutics. Dr. Schroeder was previously a member of the board of directors of ImaginAb, Blueprint Medicines (NASDAQ: BPMC) and Peloton Therapeutics (acquired by Merck). Dr. Schroeder studied biotechnology, protein biochemistry and process engineering at ESBS and received a Ph.D. in Biochemistry from the University of Zurich. We believe Dr. Schroeder is qualified to serve on our board of directors due to his professional experience as well as his prior experience serving on the boards of U.S. private and public companies.</w:t>
      </w:r>
    </w:p>
    <w:p>
      <w:pPr>
        <w:spacing w:after="0" w:line="17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b w:val="1"/>
          <w:bCs w:val="1"/>
          <w:color w:val="auto"/>
        </w:rPr>
        <w:t xml:space="preserve">Laurie Stelzer </w:t>
      </w:r>
      <w:r>
        <w:rPr>
          <w:rFonts w:ascii="Arial" w:cs="Arial" w:eastAsia="Arial" w:hAnsi="Arial"/>
          <w:sz w:val="18"/>
          <w:szCs w:val="18"/>
          <w:color w:val="auto"/>
        </w:rPr>
        <w:t>has served as a member of our board of directors since August 2020. Ms. Stelzer has served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Financial Officer of Arena Pharmaceuticals, Inc. (NASDAQ: ARNA), a biopharmaceutical company, since March 2020. She has also served on the board of directors of Surface Oncology, Inc. (NASDAQ: SURF), a clinical-stage immuno-oncology company, since January 2018. Prior to joining Arena Pharmaceuticals, Ms. Stelzer was the Chief Financial Officer at Halozyme Therapeutics, Inc. (NASDAQ: HALO), a biopharma technology platform company, from June 2015 to March 2020, where she led the Finance, Information Technology, Business Development, Project Management and Site Operations organizations. Prior to joining Halozyme Therapeutics, Ms. Stelzer held senior management roles at Shire Plc (acquired by Takeda), including Senior Vice President of Finance, Division Chief Financial Officer for the Regenerative Medicine Division and Head of Investor Relations. Previously, she also worked at Amgen, Inc. (NASDAQ: AMGN), a global biopharmaceutical company, for 15 years, serving in positions of increasing responsibility in the areas of Finance, Treasury, Global Accounting and International/Emerging Markets. Ms. Stelzer received her B.S. in Accounting from Arizona State University and her M.B.A. from University of California, Los Angeles, Anderson School of Management. We believe that Ms. Stelzer is qualified to serve on our board of directors because of her extensive executive and financial experience at multiple public companies in the biopharmaceutical and biotechnology industries.</w:t>
      </w:r>
    </w:p>
    <w:p>
      <w:pPr>
        <w:spacing w:after="0" w:line="180" w:lineRule="exact"/>
        <w:rPr>
          <w:sz w:val="20"/>
          <w:szCs w:val="20"/>
          <w:color w:val="auto"/>
        </w:rPr>
      </w:pPr>
    </w:p>
    <w:p>
      <w:pPr>
        <w:ind w:left="120" w:right="60" w:firstLine="551"/>
        <w:spacing w:after="0" w:line="249" w:lineRule="auto"/>
        <w:rPr>
          <w:sz w:val="20"/>
          <w:szCs w:val="20"/>
          <w:color w:val="auto"/>
        </w:rPr>
      </w:pPr>
      <w:r>
        <w:rPr>
          <w:rFonts w:ascii="Arial" w:cs="Arial" w:eastAsia="Arial" w:hAnsi="Arial"/>
          <w:sz w:val="18"/>
          <w:szCs w:val="18"/>
          <w:b w:val="1"/>
          <w:bCs w:val="1"/>
          <w:color w:val="auto"/>
        </w:rPr>
        <w:t xml:space="preserve">Peter Thompson, M.D. </w:t>
      </w:r>
      <w:r>
        <w:rPr>
          <w:rFonts w:ascii="Arial" w:cs="Arial" w:eastAsia="Arial" w:hAnsi="Arial"/>
          <w:sz w:val="18"/>
          <w:szCs w:val="18"/>
          <w:color w:val="auto"/>
        </w:rPr>
        <w:t>has served as a member of our board of directors since November 2014. Dr. Thompson is a Private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OrbiMed Advisors LLC, an investment firm focused on the healthcare sector, where he previously served as a Venture Partner. Dr. Thompson currently serves on the board of directors of Alpine Immune Sciences (NASDAQ: ALPN), a clinical-stage immunotherapy company, Corvus Pharmaceuticals (NASDAQ: CRVS), a clinical-stage precision medicine company,</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and Prevail Therapeutics (NASDAQ: PRVL), a precision medicine company focusing on neurodegenerative disorders. Dr. Thompson also currently serves on the board of directors of several private companies. Dr. Thompson has previously served on the board of directors of Adaptimmune Therapeutics (NASDAQ: ADAP), a clinical-stage biopharmaceutical company, Principia Biopharma (NASDAQ: PRNB), a late-stage biopharmaceutical company, and Synthorx (NASDAQ: THOR), a clinical-stage biotechnology company. Dr. Thompson has cofounded numerous companies, including Edgewise Therapeutics, Silverback Therapeutics and Cleave Biosciences. Dr. Thompson also previously served in executive leadership roles at Trubion Pharmaceuticals, Chiron and Becton, Dickinson and Company. Dr. Thompson is an Affiliate Professor of Neurosurgery at the University of Washington. In addition, Dr. Thompson holds numerous patents and is a board-certified internist and oncologist. Dr. Thompson received a B.S. in Molecular Biology and Mathematics from Brown University and a M.D. from Brown University Medical School. We believe Dr. Thompson’s experience in management and venture capital in the biopharmaceutical industry provides him with the qualifications and skills to serve as a member of our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Employees</w:t>
      </w:r>
    </w:p>
    <w:p>
      <w:pPr>
        <w:spacing w:after="0" w:line="102"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b w:val="1"/>
          <w:bCs w:val="1"/>
          <w:color w:val="auto"/>
        </w:rPr>
        <w:t xml:space="preserve">Michael Carulli </w:t>
      </w:r>
      <w:r>
        <w:rPr>
          <w:rFonts w:ascii="Arial" w:cs="Arial" w:eastAsia="Arial" w:hAnsi="Arial"/>
          <w:sz w:val="18"/>
          <w:szCs w:val="18"/>
          <w:color w:val="auto"/>
        </w:rPr>
        <w:t>has served as our Vice President of Finance since May 2020. Prior to joining our company, Mr. Carulli was an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of R&amp;D Financial Planning and Analysis at Celgene (now Bristol Myers Squibb) where he oversaw the financial and operational plans for the entire Research and Development organization. Mr. Carulli spent over ten years at Celgene where he held multiple positions with increasing responsibility working closely on the R&amp;D strategy, long range planning and financial partnering to the Business Development and Alliance Management team. Mr. Carulli was the Chief of Staff to the President of Research &amp; Early Development for two years, as well as the R&amp;D finance lead for the Bristol Myers Squibb integration and Otezla divestiture to Amgen. Combined, Mr. Carulli has over 20 years of financial management experience and has led many process improvement initiatives and implemented several business intelligence technology solutions. He received a B.S. in Marketing and Management from Siena College and a M.B.A. from Fordham University.</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color w:val="auto"/>
        </w:rPr>
        <w:t xml:space="preserve">Melissa Dumble, Ph.D. </w:t>
      </w:r>
      <w:r>
        <w:rPr>
          <w:rFonts w:ascii="Arial" w:cs="Arial" w:eastAsia="Arial" w:hAnsi="Arial"/>
          <w:sz w:val="18"/>
          <w:szCs w:val="18"/>
          <w:color w:val="auto"/>
        </w:rPr>
        <w:t>has served as our Vice President of Preclinical Development and Translational Science since August 2020</w:t>
      </w:r>
      <w:r>
        <w:rPr>
          <w:rFonts w:ascii="Arial" w:cs="Arial" w:eastAsia="Arial" w:hAnsi="Arial"/>
          <w:sz w:val="18"/>
          <w:szCs w:val="18"/>
          <w:b w:val="1"/>
          <w:bCs w:val="1"/>
          <w:color w:val="auto"/>
        </w:rPr>
        <w:t xml:space="preserve"> </w:t>
      </w:r>
      <w:r>
        <w:rPr>
          <w:rFonts w:ascii="Arial" w:cs="Arial" w:eastAsia="Arial" w:hAnsi="Arial"/>
          <w:sz w:val="18"/>
          <w:szCs w:val="18"/>
          <w:color w:val="auto"/>
        </w:rPr>
        <w:t>and previously served as our Vice President of Pharmacology and Translational Medicine from October 2017 to August 2020. Prior to joining our company, Dr. Dumble was a Research Leader at Bristol-Myers Squibb (BMS, Lawrenceville site) developing small molecules to regulate tumor intrinsic targets that may sensitize cancers to immuno-oncology agents. Before her tenure at BMS, she worked at PTC Therapeutics and Enzon Pharmaceuticals, leading drug discovery projects in oncology, infectious disease and genetic disorders from lead optimization to clinical trials. Dr. Dumble began her career at GSK Oncology, training as a pharmacologist and working on many of the marketed kinase inhibitors (e.g. Votrient</w:t>
      </w:r>
      <w:r>
        <w:rPr>
          <w:rFonts w:ascii="Arial" w:cs="Arial" w:eastAsia="Arial" w:hAnsi="Arial"/>
          <w:sz w:val="15"/>
          <w:szCs w:val="15"/>
          <w:color w:val="auto"/>
        </w:rPr>
        <w:t>TM</w:t>
      </w:r>
      <w:r>
        <w:rPr>
          <w:rFonts w:ascii="Arial" w:cs="Arial" w:eastAsia="Arial" w:hAnsi="Arial"/>
          <w:sz w:val="18"/>
          <w:szCs w:val="18"/>
          <w:color w:val="auto"/>
        </w:rPr>
        <w:t>, Mekinist</w:t>
      </w:r>
      <w:r>
        <w:rPr>
          <w:rFonts w:ascii="Arial" w:cs="Arial" w:eastAsia="Arial" w:hAnsi="Arial"/>
          <w:sz w:val="15"/>
          <w:szCs w:val="15"/>
          <w:color w:val="auto"/>
        </w:rPr>
        <w:t>TM</w:t>
      </w:r>
      <w:r>
        <w:rPr>
          <w:rFonts w:ascii="Arial" w:cs="Arial" w:eastAsia="Arial" w:hAnsi="Arial"/>
          <w:sz w:val="18"/>
          <w:szCs w:val="18"/>
          <w:color w:val="auto"/>
        </w:rPr>
        <w:t>, Tafinlar</w:t>
      </w:r>
      <w:r>
        <w:rPr>
          <w:rFonts w:ascii="Arial" w:cs="Arial" w:eastAsia="Arial" w:hAnsi="Arial"/>
          <w:sz w:val="15"/>
          <w:szCs w:val="15"/>
          <w:color w:val="auto"/>
        </w:rPr>
        <w:t>TM</w:t>
      </w:r>
      <w:r>
        <w:rPr>
          <w:rFonts w:ascii="Arial" w:cs="Arial" w:eastAsia="Arial" w:hAnsi="Arial"/>
          <w:sz w:val="18"/>
          <w:szCs w:val="18"/>
          <w:color w:val="auto"/>
        </w:rPr>
        <w:t>). In addition, she led the team of scientists developing an oral Akt inhibitor to clinical trials. Dr. Dumble has co-authored over 20 manuscripts and is an inventor on 5 issued patents. Dr. Dumble received a B.S. in Biochemistry and Human Biology and a Ph.D. in Cell and Molecular Biology from the University of Western Australia. She also completed a Postdoctoral Fellowship at Baylor College of Medicine, Houston. Her studies were based on understanding the role of p53 in stem cell dynamics, cancer and aging.</w:t>
      </w:r>
    </w:p>
    <w:p>
      <w:pPr>
        <w:spacing w:after="0" w:line="176"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b w:val="1"/>
          <w:bCs w:val="1"/>
          <w:color w:val="auto"/>
        </w:rPr>
        <w:t xml:space="preserve">Robert Ticktin </w:t>
      </w:r>
      <w:r>
        <w:rPr>
          <w:rFonts w:ascii="Arial" w:cs="Arial" w:eastAsia="Arial" w:hAnsi="Arial"/>
          <w:sz w:val="18"/>
          <w:szCs w:val="18"/>
          <w:color w:val="auto"/>
        </w:rPr>
        <w:t>has served as our General Counsel since August 2020, and served as our part-time legal consultant from May to</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2020. Prior to joining our company, Mr. Ticktin was Associate General Counsel, Corporate, at Tesaro, Inc., a development and commercial oncology company (acquired by GSK), where he spent three years leading corporate legal matters, including SEC reporting, business development and alliance management support. Prior to that, Mr. Ticktin was SVP and General Counsel for three years at Epirus Biopharmaceuticals, a biosimilar start-up. Before his tenure at Epirus, Mr. Ticktin spent ten years at Amgen Inc., where he held various leadership positions in Amgen’s legal department. Mr. Ticktin commenced his legal career in New York City at global law</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80"/>
        <w:spacing w:after="0" w:line="276" w:lineRule="auto"/>
        <w:rPr>
          <w:sz w:val="20"/>
          <w:szCs w:val="20"/>
          <w:color w:val="auto"/>
        </w:rPr>
      </w:pPr>
      <w:r>
        <w:rPr>
          <w:rFonts w:ascii="Arial" w:cs="Arial" w:eastAsia="Arial" w:hAnsi="Arial"/>
          <w:sz w:val="18"/>
          <w:szCs w:val="18"/>
          <w:color w:val="auto"/>
        </w:rPr>
        <w:t>firms, Simpson Thacher &amp; Bartlett LLP and Latham &amp; Watkins LLP. Mr. Ticktin received a B.A. in Economics from The Ohio State University and a J.D. from Fordham University School of Law.</w:t>
      </w:r>
    </w:p>
    <w:p>
      <w:pPr>
        <w:spacing w:after="0" w:line="143"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b w:val="1"/>
          <w:bCs w:val="1"/>
          <w:color w:val="auto"/>
        </w:rPr>
        <w:t xml:space="preserve">Binh Vu, Ph.D. </w:t>
      </w:r>
      <w:r>
        <w:rPr>
          <w:rFonts w:ascii="Arial" w:cs="Arial" w:eastAsia="Arial" w:hAnsi="Arial"/>
          <w:sz w:val="18"/>
          <w:szCs w:val="18"/>
          <w:color w:val="auto"/>
        </w:rPr>
        <w:t>has served as our Vice President of Drug Discovery and Chemistry, Manufacturing and Controls since August 2020</w:t>
      </w:r>
      <w:r>
        <w:rPr>
          <w:rFonts w:ascii="Arial" w:cs="Arial" w:eastAsia="Arial" w:hAnsi="Arial"/>
          <w:sz w:val="18"/>
          <w:szCs w:val="18"/>
          <w:b w:val="1"/>
          <w:bCs w:val="1"/>
          <w:color w:val="auto"/>
        </w:rPr>
        <w:t xml:space="preserve"> </w:t>
      </w:r>
      <w:r>
        <w:rPr>
          <w:rFonts w:ascii="Arial" w:cs="Arial" w:eastAsia="Arial" w:hAnsi="Arial"/>
          <w:sz w:val="18"/>
          <w:szCs w:val="18"/>
          <w:color w:val="auto"/>
        </w:rPr>
        <w:t>and previously served as our Vice President of Chemistry from June 2015 to August 2020, Director of Research from September 2013 to October 2014 and our Vice President of Pre-Clinical Discovery from November 2014 to May 2015. Prior to joining our company, Dr. Vu was a Research Leader at Roche where he spent 15 years working in small molecule oncology drug discovery. While at Roche, Dr. Vu was a key contributor to the discovery and development of Nutlins, small molecule MDM2 antagonists which target the p53 pathway. He has extensively published on p53 biology and drug discovery, and is an inventor on 14 issued U.S. patents. Dr. Vu received a B.S. in Chemistry from the University of California, Irvine and a Ph.D. in Chemistry from the University of California, Los Angeles. He also completed an NIH Postdoctoral Fellowship at the University of Texas at Austin.</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Composition</w:t>
      </w:r>
    </w:p>
    <w:p>
      <w:pPr>
        <w:spacing w:after="0" w:line="214"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The voting agreement and the provisions of our current certificate of incorporation that govern the election and designation of our directors will terminate in connection with this offering, after which no contractual obligations will concern the election of our directors. Each of our current directors will continue to serve as a director until the election and qualification of his or her successor, or until his or her earlier death, resignation or removal.</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Classified Board of Directors</w:t>
      </w:r>
    </w:p>
    <w:p>
      <w:pPr>
        <w:spacing w:after="0" w:line="21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amended and restated certificate of incorporation, which will be effective immediately prior to the completion of this offering,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directors will be divided among the three classes as follows:</w:t>
      </w:r>
    </w:p>
    <w:p>
      <w:pPr>
        <w:spacing w:after="0" w:line="76" w:lineRule="exact"/>
        <w:rPr>
          <w:sz w:val="20"/>
          <w:szCs w:val="20"/>
          <w:color w:val="auto"/>
        </w:rPr>
      </w:pPr>
    </w:p>
    <w:p>
      <w:pPr>
        <w:ind w:left="880" w:right="6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Class I directors will be Thilo Schroeder, Ph.D. and Peter Thompson, M.D., and their terms will expire at the annual meeting of stockholders to be held in 2021;</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Class II directors will be Arnold Levine, Ph.D. and Arnold Oronsky, Ph.D., and their terms will expire at the annual meeting of stockholders to be held in 2022; and</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Class III directors will be Richard Heyman, Ph.D., Laurie Stelzer and David H. Mack, Ph.D., and their terms will expire at the annual meeting of stockholders to be held in 2023.</w:t>
      </w:r>
    </w:p>
    <w:p>
      <w:pPr>
        <w:spacing w:after="0" w:line="145"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and amended and restated bylaws. Any additional directorships resulting from an increase in the number of directors will be distributed among the three classes so that, as nearly as possible, each class will consist of one third of our directors. This classification of our board of directors may have the effect of delaying or preventing changes in control of our company.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Independence</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been approved to list our common stock on the Nasdaq Global Select Market. Under the rules of the Nasdaq Stock Market LLC, or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Securities Exchange Act of 1934, as amended, or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7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of a listed company must affirmatively determine that each member of the compensation committee is independent, including a consideration of all factors specifically relevant to determining whether the director has a relationship to the company that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79"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Richard Heyman, Ph.D., Arnold Levine, Ph.D., Arnold Oronsky, Ph.D., Thilo Schroeder, Ph.D., Laurie Stelzer and Peter Thompson, M.D., representing six of our seven directors, do not have a relationship that would interfere with the exercise of independent judgment in carrying out the responsibilities of a director and that each of these directors is “independent” as that term is defined under the rules of Nasdaq. Dr. Mack is not an independent director because he is our President and Chief Executive Officer.</w:t>
      </w:r>
    </w:p>
    <w:p>
      <w:pPr>
        <w:spacing w:after="0" w:line="180"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 There are no family relationships among any of our directors or executive officers.</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Leadership Structure</w:t>
      </w:r>
    </w:p>
    <w:p>
      <w:pPr>
        <w:spacing w:after="0" w:line="214"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Our board of directors is currently chaired by Richard Heyman, Ph.D. As a general policy, our board of directors believes that separation of the positions of chair of our board of directors and Chief</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Executive Officer reinforces the independence of our board of directors from management, creates an environment that encourages objective oversight of management’s performance and enhances the effectiveness of our board of directors as a whole. As such, Dr. Mack serves as our Chief Executive Officer while Dr. Heyman serves as the chair of our board of directors, but is not an officer. We currently expect and intend the positions of chair of our board of directors and Chief Executive Officer to continue to be held by two individuals in the future.</w:t>
      </w: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Role of the Board in Risk Oversight</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audit committee is responsible for overseeing the management of risks relating to accounting matters and financial reporting. The compensation committee is responsible for overseeing the management of risks relating to our executive compensation plans and arrangements.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Committees</w:t>
      </w:r>
    </w:p>
    <w:p>
      <w:pPr>
        <w:spacing w:after="0" w:line="21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 Each committee intends to adopt a written charter that satisfies the applicable rules and regulations of the Securities Exchange Commission, or SEC, and the listing standards of Nasdaq, which we will post on our website at www.pmvpharma.com upon the completion of this offering. Information contained on, or that can be accessible through, our website is not a part of this prospectus and the inclusion of our website address in this prospectus is an inactive textual reference only.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Upon the effectiveness of the registration statement of which this prospectus forms a part, the members of our audit committee will be Laurie Stelzer, Richard Heyman, Ph.D. and Thilo Schroeder, Ph.D., and Ms. Stelzer will be the chair of our audit committee. Our board of directors has determined that all members are independent under the listing standards of Nasdaq and Rule 10A-3(b)(1) of the Exchange Act and that Ms. Stelzer is an audit committee financial expert, as that term is defined under the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will oversee our corporate accounting and financial reporting process and assist our board of directors in monitoring our financial systems. Among other matters, our audit committee will also:</w:t>
      </w:r>
    </w:p>
    <w:p>
      <w:pPr>
        <w:spacing w:after="0" w:line="73"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spacing w:after="0" w:line="276" w:lineRule="auto"/>
        <w:rPr>
          <w:sz w:val="20"/>
          <w:szCs w:val="20"/>
          <w:color w:val="auto"/>
        </w:rPr>
      </w:pPr>
      <w:r>
        <w:rPr>
          <w:rFonts w:ascii="Arial" w:cs="Arial" w:eastAsia="Arial" w:hAnsi="Arial"/>
          <w:sz w:val="18"/>
          <w:szCs w:val="18"/>
          <w:color w:val="auto"/>
        </w:rPr>
        <w:t>independent audit and the quarterly reviews and the reports and certifications regarding internal controls over financial reporting and disclosure controls;</w:t>
      </w:r>
    </w:p>
    <w:p>
      <w:pPr>
        <w:spacing w:after="0" w:line="50" w:lineRule="exact"/>
        <w:rPr>
          <w:sz w:val="20"/>
          <w:szCs w:val="20"/>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and monitor conflicts of interest situations, and approve or prohibit any involvement in matters that may involve a conflict of interest or taking of a corporate opportunity;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Upon the effectiveness of the registration statement of which this prospectus forms a part, the members of our compensation committee will be Richard Heyman, Ph.D., Arnold Oronsky, Ph.D. and Peter Thompson, M.D., and Dr. Heyman will be the chair of our compensation committee. Our board of directors has determined that all members are independent under the listing standards of Nasdaq and are “non-employee directors” as defined in Rule 16b-3 promulgated under the Exchange Act. Our compensation committee will oversee our compensation policies, plans and benefits programs. Among other matters, our compensation committee will also:</w:t>
      </w:r>
    </w:p>
    <w:p>
      <w:pPr>
        <w:spacing w:after="0" w:line="78" w:lineRule="exact"/>
        <w:rPr>
          <w:sz w:val="20"/>
          <w:szCs w:val="20"/>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approve or recommend to the board of directors for approval compensation for our executive officers and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04"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Upon the effectiveness of the registration statement of which this prospectus forms a part, the members of our corporate governance and nominating committee will be Peter Thompson, M.D., Richard Heyman, Ph.D. and Thilo Schroeder, Ph.D., and Dr. Thompson will be the chair of our corporate governance and nominating committee. Our board of directors has determined that all members of the corporate governance and nominating committee are independent under the listing standards of Nasdaq. Our corporate governance and nominating committee will oversee and assist our board of directors in reviewing and recommending nominees for election as directors. Among other matters, our corporate governance and nominating committee will:</w:t>
      </w:r>
    </w:p>
    <w:p>
      <w:pPr>
        <w:spacing w:after="0" w:line="79" w:lineRule="exact"/>
        <w:rPr>
          <w:sz w:val="20"/>
          <w:szCs w:val="20"/>
          <w:color w:val="auto"/>
        </w:rPr>
      </w:pPr>
    </w:p>
    <w:p>
      <w:pPr>
        <w:ind w:left="880" w:right="20" w:hanging="224"/>
        <w:spacing w:after="0" w:line="276"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40"/>
          </w:cols>
          <w:pgMar w:left="320" w:top="455" w:right="5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20" w:hanging="224"/>
        <w:spacing w:after="0" w:line="276"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consider and make recommendations to our board of directors regarding the composition of our board of directors and its committees;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4" w:lineRule="exact"/>
        <w:rPr>
          <w:sz w:val="20"/>
          <w:szCs w:val="20"/>
          <w:color w:val="auto"/>
        </w:rPr>
      </w:pPr>
    </w:p>
    <w:p>
      <w:pPr>
        <w:jc w:val="both"/>
        <w:ind w:left="120" w:right="20" w:firstLine="551"/>
        <w:spacing w:after="0" w:line="248"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70"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Dr. Heyman and Dr. Levine have or may be deemed to have an interest in certain transactions requiring disclosure under Item 404 of Regulation S-K under the Securities Act of 1933, as amended, or Securities Act. These transactions between us and members of our compensation committee and affiliates of such members are disclosed in “Certain Relationships and Related Party Transactions,” and such disclosure is incorporated by reference herein.</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Scientific Advisory Board</w:t>
      </w:r>
    </w:p>
    <w:p>
      <w:pPr>
        <w:spacing w:after="0" w:line="21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 xml:space="preserve">We have established a scientific advisory board composed of leading academic and industry scientists. We seek advice and input from these scientists on an </w:t>
      </w:r>
      <w:r>
        <w:rPr>
          <w:rFonts w:ascii="Arial" w:cs="Arial" w:eastAsia="Arial" w:hAnsi="Arial"/>
          <w:sz w:val="18"/>
          <w:szCs w:val="18"/>
          <w:i w:val="1"/>
          <w:iCs w:val="1"/>
          <w:color w:val="auto"/>
        </w:rPr>
        <w:t>ad hoc</w:t>
      </w:r>
      <w:r>
        <w:rPr>
          <w:rFonts w:ascii="Arial" w:cs="Arial" w:eastAsia="Arial" w:hAnsi="Arial"/>
          <w:sz w:val="18"/>
          <w:szCs w:val="18"/>
          <w:color w:val="auto"/>
        </w:rPr>
        <w:t xml:space="preserve"> basis, individually or as a group, to provide scientific and clinical feedback and advice related to our research and development platform and programs. The members of our advisory board consist of experts across a range of key disciplines relevant to our programs. Except for Drs. Levine and Heyman, who are members of our board of directors, our advisors are not our employees or directors and have no decision-making authority over our activities. Our advisors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All of our advisors are affiliated with other entities and devote only a small portion of their time to us. Our advisors receive cash and equity compensation based upon consulting services rendered.</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Prior to the completion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www.pmvpharma.com.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or that can be accessible through, our website is not a part of this prospectus and the inclusion of our website address in this prospectus is an inactive textual reference only.</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214"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Prior to this offering, we did not have a formal policy with respect to compensation payable to our non-employee directors. We reimburse our directors for expenses associated with attending meetings of our board of directors and its committees.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We adopted our Outside Director Compensation Policy, or Director Compensation Policy, in September 2020, which will become effective on the effective date of the registration statement of which this prospectus forms a part. The Director Compensation Policy sets guidelines for the compensation of our non-employee directors for their service as director. The cash and equity components of our compensation policy for non-employee directors are set forth below:</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62"/>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Position</w:t>
            </w:r>
          </w:p>
        </w:tc>
        <w:tc>
          <w:tcPr>
            <w:tcW w:w="6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84"/>
        </w:trPr>
        <w:tc>
          <w:tcPr>
            <w:tcW w:w="580" w:type="dxa"/>
            <w:vAlign w:val="bottom"/>
            <w:tcBorders>
              <w:bottom w:val="single" w:sz="8" w:color="auto"/>
            </w:tcBorders>
            <w:vMerge w:val="continue"/>
          </w:tcPr>
          <w:p>
            <w:pPr>
              <w:spacing w:after="0"/>
              <w:rPr>
                <w:sz w:val="15"/>
                <w:szCs w:val="15"/>
                <w:color w:val="auto"/>
              </w:rPr>
            </w:pPr>
          </w:p>
        </w:tc>
        <w:tc>
          <w:tcPr>
            <w:tcW w:w="6180" w:type="dxa"/>
            <w:vAlign w:val="bottom"/>
            <w:vMerge w:val="continue"/>
          </w:tcPr>
          <w:p>
            <w:pPr>
              <w:spacing w:after="0"/>
              <w:rPr>
                <w:sz w:val="15"/>
                <w:szCs w:val="15"/>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Retainer</w:t>
            </w:r>
          </w:p>
        </w:tc>
        <w:tc>
          <w:tcPr>
            <w:tcW w:w="0" w:type="dxa"/>
            <w:vAlign w:val="bottom"/>
          </w:tcPr>
          <w:p>
            <w:pPr>
              <w:spacing w:after="0"/>
              <w:rPr>
                <w:sz w:val="1"/>
                <w:szCs w:val="1"/>
                <w:color w:val="auto"/>
              </w:rPr>
            </w:pPr>
          </w:p>
        </w:tc>
      </w:tr>
      <w:tr>
        <w:trPr>
          <w:trHeight w:val="190"/>
        </w:trPr>
        <w:tc>
          <w:tcPr>
            <w:tcW w:w="6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Base Director Fee</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40,000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Additional Chairperson Fee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Chair of the Board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35,000</w:t>
            </w: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 of the Audit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15,000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Chair of the Compensation Committee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10,000</w:t>
            </w: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 of the Nominating and Corporate Governance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Additional Committee Member Fee (excluding chairpersons)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Audit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Compensation Committee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Nominating and Corporate Governance Committee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Under our Director Compensation Policy, each non-employee director upon first becoming a non-employee director automatically receives an initial option to purchase 32,667 shares of common stock. The initial option vests in 36 equal, monthly installments after the grant date, subject to continued service through the vesting date. Additionally, each non-employee director automatically receives an annual option to purchase 16,333 shares, effective on the date of each annual meeting of the stockholders. The annual option vests on the earlier of one year following the grant date or the next annual meeting of stockholders, subject to continued service through the vesting date. All awards under the Director Compensation Policy accelerate and vest upon a change in control. The exercise price of all options under the Director Compensation Policy is the fair market value on the date of grant.</w:t>
      </w:r>
    </w:p>
    <w:p>
      <w:pPr>
        <w:spacing w:after="0" w:line="179"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following table presents the total compensation that each of our then non-employee directors received during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3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Fees Earned or</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Paid in Cash</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3540" w:type="dxa"/>
            <w:vAlign w:val="bottom"/>
          </w:tcPr>
          <w:p>
            <w:pPr>
              <w:spacing w:after="0"/>
              <w:rPr>
                <w:sz w:val="15"/>
                <w:szCs w:val="15"/>
                <w:color w:val="auto"/>
              </w:rPr>
            </w:pPr>
          </w:p>
        </w:tc>
        <w:tc>
          <w:tcPr>
            <w:tcW w:w="2780" w:type="dxa"/>
            <w:vAlign w:val="bottom"/>
            <w:gridSpan w:val="2"/>
          </w:tcPr>
          <w:p>
            <w:pPr>
              <w:jc w:val="right"/>
              <w:ind w:right="353"/>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Arnold Levine, Ph.D.</w:t>
            </w:r>
          </w:p>
        </w:tc>
        <w:tc>
          <w:tcPr>
            <w:tcW w:w="17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840" w:type="dxa"/>
            <w:vAlign w:val="bottom"/>
            <w:tcBorders>
              <w:top w:val="single" w:sz="8" w:color="CCEEFF"/>
            </w:tcBorders>
            <w:shd w:val="clear" w:color="auto" w:fill="CCEEFF"/>
          </w:tcPr>
          <w:p>
            <w:pPr>
              <w:jc w:val="right"/>
              <w:ind w:right="584"/>
              <w:spacing w:after="0"/>
              <w:rPr>
                <w:sz w:val="20"/>
                <w:szCs w:val="20"/>
                <w:color w:val="auto"/>
              </w:rPr>
            </w:pPr>
            <w:r>
              <w:rPr>
                <w:rFonts w:ascii="Arial" w:cs="Arial" w:eastAsia="Arial" w:hAnsi="Arial"/>
                <w:sz w:val="15"/>
                <w:szCs w:val="15"/>
                <w:color w:val="auto"/>
                <w:w w:val="87"/>
              </w:rPr>
              <w:t>(1)</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Arnold Oronsky, Ph.D.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Thilo Schroeder, Ph.D.</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Peter Thompson, M.D.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Winick, J.D.</w:t>
            </w:r>
            <w:r>
              <w:rPr>
                <w:rFonts w:ascii="Arial" w:cs="Arial" w:eastAsia="Arial" w:hAnsi="Arial"/>
                <w:sz w:val="15"/>
                <w:szCs w:val="15"/>
                <w:color w:val="auto"/>
              </w:rPr>
              <w:t>(2)</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6" w:lineRule="exact"/>
        <w:rPr>
          <w:sz w:val="20"/>
          <w:szCs w:val="20"/>
          <w:color w:val="auto"/>
        </w:rPr>
      </w:pPr>
    </w:p>
    <w:p>
      <w:pPr>
        <w:ind w:left="540" w:right="120" w:hanging="424"/>
        <w:spacing w:after="0" w:line="187" w:lineRule="auto"/>
        <w:tabs>
          <w:tab w:leader="none" w:pos="5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Dr. Levine received an annual compensation of $100,000 pursuant to a consulting agreement. For additional information regarding our consulting agreement with Dr. Levine, see “Certain Relationships and Related Party Transactions—Consulting Agreement with Arnold Levine, Ph.D.”</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92"/>
        </w:numPr>
        <w:rPr>
          <w:rFonts w:ascii="Arial" w:cs="Arial" w:eastAsia="Arial" w:hAnsi="Arial"/>
          <w:sz w:val="20"/>
          <w:szCs w:val="20"/>
          <w:color w:val="auto"/>
          <w:vertAlign w:val="superscript"/>
        </w:rPr>
      </w:pPr>
      <w:r>
        <w:rPr>
          <w:rFonts w:ascii="Arial" w:cs="Arial" w:eastAsia="Arial" w:hAnsi="Arial"/>
          <w:sz w:val="12"/>
          <w:szCs w:val="12"/>
          <w:color w:val="auto"/>
        </w:rPr>
        <w:t>Mr. Winick resigned from our board of directors effective September 4, 2020.</w:t>
      </w:r>
    </w:p>
    <w:p>
      <w:pPr>
        <w:spacing w:after="0" w:line="17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Directors who are also our employees receive no additional compensation for their service as directors. Dr. Mack was an employee director during 2019. See the section titled “Executive Compensation” for additional information about Dr. Mack’s compensation.</w:t>
      </w: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Our named executive officers for 2019, who consist of our principal executive officer and the next two most highly compensated executive officers, are:</w:t>
      </w:r>
    </w:p>
    <w:p>
      <w:pPr>
        <w:spacing w:after="0" w:line="50" w:lineRule="exact"/>
        <w:rPr>
          <w:sz w:val="20"/>
          <w:szCs w:val="20"/>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David H. Mack, Ph.D., our President and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Winston Kung, our Chief Operating Officer and Chief Financial Officer;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Deepika Jalota, our Senior Vice President, Regulatory Affairs and Quality Assurance.</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for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Incentive 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940" w:type="dxa"/>
            <w:vAlign w:val="bottom"/>
            <w:tcBorders>
              <w:bottom w:val="single" w:sz="8" w:color="auto"/>
            </w:tcBorders>
            <w:vMerge w:val="continue"/>
          </w:tcPr>
          <w:p>
            <w:pPr>
              <w:spacing w:after="0"/>
              <w:rPr>
                <w:sz w:val="16"/>
                <w:szCs w:val="16"/>
                <w:color w:val="auto"/>
              </w:rPr>
            </w:pPr>
          </w:p>
        </w:tc>
        <w:tc>
          <w:tcPr>
            <w:tcW w:w="3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00" w:type="dxa"/>
            <w:vAlign w:val="bottom"/>
          </w:tcPr>
          <w:p>
            <w:pPr>
              <w:jc w:val="center"/>
              <w:ind w:right="41"/>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280" w:type="dxa"/>
            <w:vAlign w:val="bottom"/>
          </w:tcPr>
          <w:p>
            <w:pPr>
              <w:spacing w:after="0"/>
              <w:rPr>
                <w:sz w:val="16"/>
                <w:szCs w:val="16"/>
                <w:color w:val="auto"/>
              </w:rPr>
            </w:pPr>
          </w:p>
        </w:tc>
        <w:tc>
          <w:tcPr>
            <w:tcW w:w="7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460" w:type="dxa"/>
            <w:vAlign w:val="bottom"/>
          </w:tcPr>
          <w:p>
            <w:pPr>
              <w:spacing w:after="0"/>
              <w:rPr>
                <w:sz w:val="16"/>
                <w:szCs w:val="16"/>
                <w:color w:val="auto"/>
              </w:rPr>
            </w:pPr>
          </w:p>
        </w:tc>
        <w:tc>
          <w:tcPr>
            <w:tcW w:w="10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5"/>
        </w:trPr>
        <w:tc>
          <w:tcPr>
            <w:tcW w:w="49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7"/>
                <w:szCs w:val="17"/>
                <w:color w:val="auto"/>
              </w:rPr>
              <w:t>David H. Mack, Ph.D.</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7"/>
                <w:szCs w:val="17"/>
                <w:color w:val="auto"/>
              </w:rPr>
              <w:t>2019</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461,250</w:t>
            </w:r>
          </w:p>
        </w:tc>
        <w:tc>
          <w:tcPr>
            <w:tcW w:w="2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20"/>
              <w:spacing w:after="0" w:line="155" w:lineRule="exact"/>
              <w:rPr>
                <w:sz w:val="20"/>
                <w:szCs w:val="20"/>
                <w:color w:val="auto"/>
              </w:rPr>
            </w:pPr>
            <w:r>
              <w:rPr>
                <w:rFonts w:ascii="Arial" w:cs="Arial" w:eastAsia="Arial" w:hAnsi="Arial"/>
                <w:sz w:val="17"/>
                <w:szCs w:val="17"/>
                <w:color w:val="auto"/>
                <w:w w:val="93"/>
              </w:rPr>
              <w:t>—</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166,860</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628,110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960" w:type="dxa"/>
            <w:vAlign w:val="bottom"/>
            <w:gridSpan w:val="2"/>
          </w:tcPr>
          <w:p>
            <w:pPr>
              <w:spacing w:after="0"/>
              <w:rPr>
                <w:sz w:val="20"/>
                <w:szCs w:val="20"/>
                <w:color w:val="auto"/>
              </w:rPr>
            </w:pPr>
            <w:r>
              <w:rPr>
                <w:rFonts w:ascii="Arial" w:cs="Arial" w:eastAsia="Arial" w:hAnsi="Arial"/>
                <w:sz w:val="18"/>
                <w:szCs w:val="18"/>
                <w:color w:val="auto"/>
              </w:rPr>
              <w:t>Winston Kung</w:t>
            </w:r>
          </w:p>
        </w:tc>
        <w:tc>
          <w:tcPr>
            <w:tcW w:w="940" w:type="dxa"/>
            <w:vAlign w:val="bottom"/>
            <w:gridSpan w:val="3"/>
          </w:tcPr>
          <w:p>
            <w:pPr>
              <w:ind w:left="260"/>
              <w:spacing w:after="0"/>
              <w:rPr>
                <w:sz w:val="20"/>
                <w:szCs w:val="20"/>
                <w:color w:val="auto"/>
              </w:rPr>
            </w:pPr>
            <w:r>
              <w:rPr>
                <w:rFonts w:ascii="Arial" w:cs="Arial" w:eastAsia="Arial" w:hAnsi="Arial"/>
                <w:sz w:val="18"/>
                <w:szCs w:val="18"/>
                <w:color w:val="auto"/>
              </w:rPr>
              <w:t>2019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410,000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152,440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562,440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49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Deepika Jalota, Pharm.D</w:t>
            </w:r>
          </w:p>
        </w:tc>
        <w:tc>
          <w:tcPr>
            <w:tcW w:w="940" w:type="dxa"/>
            <w:vAlign w:val="bottom"/>
            <w:gridSpan w:val="3"/>
            <w:shd w:val="clear" w:color="auto" w:fill="CCEEFF"/>
          </w:tcPr>
          <w:p>
            <w:pPr>
              <w:ind w:left="260"/>
              <w:spacing w:after="0" w:line="182" w:lineRule="exact"/>
              <w:rPr>
                <w:sz w:val="20"/>
                <w:szCs w:val="20"/>
                <w:color w:val="auto"/>
              </w:rPr>
            </w:pPr>
            <w:r>
              <w:rPr>
                <w:rFonts w:ascii="Arial" w:cs="Arial" w:eastAsia="Arial" w:hAnsi="Arial"/>
                <w:sz w:val="18"/>
                <w:szCs w:val="18"/>
                <w:color w:val="auto"/>
              </w:rPr>
              <w:t>2019</w:t>
            </w:r>
          </w:p>
        </w:tc>
        <w:tc>
          <w:tcPr>
            <w:tcW w:w="9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196,875</w:t>
            </w:r>
          </w:p>
        </w:tc>
        <w:tc>
          <w:tcPr>
            <w:tcW w:w="8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75,000</w:t>
            </w:r>
          </w:p>
        </w:tc>
        <w:tc>
          <w:tcPr>
            <w:tcW w:w="11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177,341</w:t>
            </w:r>
            <w:r>
              <w:rPr>
                <w:rFonts w:ascii="Arial" w:cs="Arial" w:eastAsia="Arial" w:hAnsi="Arial"/>
                <w:sz w:val="15"/>
                <w:szCs w:val="15"/>
                <w:color w:val="auto"/>
              </w:rPr>
              <w:t>(4)</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116,375</w:t>
            </w:r>
          </w:p>
        </w:tc>
        <w:tc>
          <w:tcPr>
            <w:tcW w:w="80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565,591</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Senior Vice President, Regulatory Affairs and Quality</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Assurance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one-time sign on bonuses paid following the named executive officer’s commencement of employment.</w:t>
      </w:r>
    </w:p>
    <w:p>
      <w:pPr>
        <w:ind w:left="660" w:right="100" w:hanging="544"/>
        <w:spacing w:after="0" w:line="204"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the aggregate grant-date fair value of the options calculated in accordance with ASC 718. Such grant-date fair value does not take into account any estimated forfeitures related to performance or service vesting conditions. The assumptions used in calculating the grant-date fair value of the option reported in this column are set forth in the section captioned “Management’s Discussion and Analysis of Financial Condition and Results of Operations— Critical Accounting Policies and Estimates.” These amounts do not reflect the actual economic value that may be realized by the named executive officer.</w:t>
      </w:r>
    </w:p>
    <w:p>
      <w:pPr>
        <w:spacing w:after="0" w:line="2" w:lineRule="exact"/>
        <w:rPr>
          <w:rFonts w:ascii="Arial" w:cs="Arial" w:eastAsia="Arial" w:hAnsi="Arial"/>
          <w:sz w:val="24"/>
          <w:szCs w:val="24"/>
          <w:color w:val="auto"/>
          <w:vertAlign w:val="superscript"/>
        </w:rPr>
      </w:pPr>
    </w:p>
    <w:p>
      <w:pPr>
        <w:ind w:left="660" w:right="320" w:hanging="544"/>
        <w:spacing w:after="0" w:line="182" w:lineRule="auto"/>
        <w:tabs>
          <w:tab w:leader="none" w:pos="660" w:val="left"/>
        </w:tabs>
        <w:numPr>
          <w:ilvl w:val="0"/>
          <w:numId w:val="94"/>
        </w:numPr>
        <w:rPr>
          <w:rFonts w:ascii="Arial" w:cs="Arial" w:eastAsia="Arial" w:hAnsi="Arial"/>
          <w:sz w:val="23"/>
          <w:szCs w:val="23"/>
          <w:color w:val="auto"/>
          <w:vertAlign w:val="superscript"/>
        </w:rPr>
      </w:pPr>
      <w:r>
        <w:rPr>
          <w:rFonts w:ascii="Arial" w:cs="Arial" w:eastAsia="Arial" w:hAnsi="Arial"/>
          <w:sz w:val="14"/>
          <w:szCs w:val="14"/>
          <w:color w:val="auto"/>
        </w:rPr>
        <w:t>The 2019 amounts reported represent cash bonuses earned under our 2019 bonus plan based upon the achievement of company objectives for the year ended December 31, 2019, which were paid in 2019. Our bonus plans are more fully described below under the section titled “—Management Bonus Plan.”</w:t>
      </w:r>
    </w:p>
    <w:p>
      <w:pPr>
        <w:spacing w:after="0" w:line="1" w:lineRule="exact"/>
        <w:rPr>
          <w:rFonts w:ascii="Arial" w:cs="Arial" w:eastAsia="Arial" w:hAnsi="Arial"/>
          <w:sz w:val="23"/>
          <w:szCs w:val="23"/>
          <w:color w:val="auto"/>
          <w:vertAlign w:val="superscript"/>
        </w:rPr>
      </w:pPr>
    </w:p>
    <w:p>
      <w:pPr>
        <w:ind w:left="660" w:right="120" w:hanging="544"/>
        <w:spacing w:after="0" w:line="185"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Represents an August 21, 2019 grant of 90,216 options to Dr. Jalota pursuant to our 2013 Equity Incentive Plan, as amended, or 2013 Plan, as described further in the table of outstanding equity awards below.</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outstanding equity awards held by each of our named executive officers as of</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rPr>
              <w:t>Number of</w:t>
            </w:r>
          </w:p>
        </w:tc>
        <w:tc>
          <w:tcPr>
            <w:tcW w:w="144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Securities</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Securities</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Underlying</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Underlying</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Unexercised</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Unexercised</w:t>
            </w: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Option</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860" w:type="dxa"/>
            <w:vAlign w:val="bottom"/>
            <w:vMerge w:val="restart"/>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771"/>
              <w:spacing w:after="0" w:line="159" w:lineRule="exact"/>
              <w:rPr>
                <w:sz w:val="20"/>
                <w:szCs w:val="20"/>
                <w:color w:val="auto"/>
              </w:rPr>
            </w:pPr>
            <w:r>
              <w:rPr>
                <w:rFonts w:ascii="Arial" w:cs="Arial" w:eastAsia="Arial" w:hAnsi="Arial"/>
                <w:sz w:val="14"/>
                <w:szCs w:val="14"/>
                <w:b w:val="1"/>
                <w:bCs w:val="1"/>
                <w:color w:val="auto"/>
              </w:rPr>
              <w:t>Grant</w:t>
            </w:r>
          </w:p>
        </w:tc>
        <w:tc>
          <w:tcPr>
            <w:tcW w:w="132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rPr>
              <w:t>Options (#)</w:t>
            </w:r>
          </w:p>
        </w:tc>
        <w:tc>
          <w:tcPr>
            <w:tcW w:w="144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rPr>
              <w:t>Options (#)</w:t>
            </w:r>
          </w:p>
        </w:tc>
        <w:tc>
          <w:tcPr>
            <w:tcW w:w="120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7"/>
        </w:trPr>
        <w:tc>
          <w:tcPr>
            <w:tcW w:w="400" w:type="dxa"/>
            <w:vAlign w:val="bottom"/>
            <w:tcBorders>
              <w:bottom w:val="single" w:sz="8" w:color="auto"/>
            </w:tcBorders>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2"/>
          </w:tcPr>
          <w:p>
            <w:pPr>
              <w:jc w:val="right"/>
              <w:ind w:right="751"/>
              <w:spacing w:after="0" w:line="167"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9"/>
                <w:szCs w:val="19"/>
                <w:b w:val="1"/>
                <w:bCs w:val="1"/>
                <w:color w:val="auto"/>
                <w:vertAlign w:val="superscript"/>
              </w:rPr>
              <w:t>(1)</w:t>
            </w: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Exercisable</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Unexercisable</w:t>
            </w:r>
          </w:p>
        </w:tc>
        <w:tc>
          <w:tcPr>
            <w:tcW w:w="1200" w:type="dxa"/>
            <w:vAlign w:val="bottom"/>
            <w:gridSpan w:val="2"/>
          </w:tcPr>
          <w:p>
            <w:pPr>
              <w:jc w:val="right"/>
              <w:ind w:right="480"/>
              <w:spacing w:after="0" w:line="167" w:lineRule="exact"/>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David H. Mack, Ph.D.</w:t>
            </w:r>
          </w:p>
        </w:tc>
        <w:tc>
          <w:tcPr>
            <w:tcW w:w="4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5/12/2015</w:t>
            </w:r>
          </w:p>
        </w:tc>
        <w:tc>
          <w:tcPr>
            <w:tcW w:w="600" w:type="dxa"/>
            <w:vAlign w:val="bottom"/>
            <w:tcBorders>
              <w:top w:val="single" w:sz="8" w:color="CCEEFF"/>
            </w:tcBorders>
            <w:shd w:val="clear" w:color="auto" w:fill="CCEEFF"/>
          </w:tcPr>
          <w:p>
            <w:pPr>
              <w:jc w:val="right"/>
              <w:ind w:right="371"/>
              <w:spacing w:after="0" w:line="155" w:lineRule="exact"/>
              <w:rPr>
                <w:sz w:val="20"/>
                <w:szCs w:val="20"/>
                <w:color w:val="auto"/>
              </w:rPr>
            </w:pPr>
            <w:r>
              <w:rPr>
                <w:rFonts w:ascii="Arial" w:cs="Arial" w:eastAsia="Arial" w:hAnsi="Arial"/>
                <w:sz w:val="14"/>
                <w:szCs w:val="14"/>
                <w:color w:val="auto"/>
                <w:w w:val="81"/>
              </w:rPr>
              <w:t>(3)</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495,337</w:t>
            </w:r>
          </w:p>
        </w:tc>
        <w:tc>
          <w:tcPr>
            <w:tcW w:w="4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ind w:left="820"/>
              <w:spacing w:after="0" w:line="155" w:lineRule="exact"/>
              <w:rPr>
                <w:sz w:val="20"/>
                <w:szCs w:val="20"/>
                <w:color w:val="auto"/>
              </w:rPr>
            </w:pPr>
            <w:r>
              <w:rPr>
                <w:rFonts w:ascii="Arial" w:cs="Arial" w:eastAsia="Arial" w:hAnsi="Arial"/>
                <w:sz w:val="16"/>
                <w:szCs w:val="16"/>
                <w:color w:val="auto"/>
                <w:w w:val="87"/>
              </w:rPr>
              <w:t>—</w:t>
            </w:r>
          </w:p>
        </w:tc>
        <w:tc>
          <w:tcPr>
            <w:tcW w:w="4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0.53</w:t>
            </w:r>
          </w:p>
        </w:tc>
        <w:tc>
          <w:tcPr>
            <w:tcW w:w="4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5/12/2025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71"/>
              <w:spacing w:after="0" w:line="189" w:lineRule="exact"/>
              <w:rPr>
                <w:sz w:val="20"/>
                <w:szCs w:val="20"/>
                <w:color w:val="auto"/>
              </w:rPr>
            </w:pPr>
            <w:r>
              <w:rPr>
                <w:rFonts w:ascii="Arial" w:cs="Arial" w:eastAsia="Arial" w:hAnsi="Arial"/>
                <w:sz w:val="13"/>
                <w:szCs w:val="13"/>
                <w:color w:val="auto"/>
              </w:rPr>
              <w:t>11/16/2016</w:t>
            </w:r>
            <w:r>
              <w:rPr>
                <w:rFonts w:ascii="Arial" w:cs="Arial" w:eastAsia="Arial" w:hAnsi="Arial"/>
                <w:sz w:val="21"/>
                <w:szCs w:val="21"/>
                <w:color w:val="auto"/>
                <w:vertAlign w:val="superscript"/>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240,644</w:t>
            </w:r>
          </w:p>
        </w:tc>
        <w:tc>
          <w:tcPr>
            <w:tcW w:w="4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1.37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11/16/2026</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71"/>
              <w:spacing w:after="0" w:line="210" w:lineRule="exact"/>
              <w:rPr>
                <w:sz w:val="20"/>
                <w:szCs w:val="20"/>
                <w:color w:val="auto"/>
              </w:rPr>
            </w:pPr>
            <w:r>
              <w:rPr>
                <w:rFonts w:ascii="Arial" w:cs="Arial" w:eastAsia="Arial" w:hAnsi="Arial"/>
                <w:sz w:val="15"/>
                <w:szCs w:val="15"/>
                <w:color w:val="auto"/>
              </w:rPr>
              <w:t>5/16/2017</w:t>
            </w:r>
            <w:r>
              <w:rPr>
                <w:rFonts w:ascii="Arial" w:cs="Arial" w:eastAsia="Arial" w:hAnsi="Arial"/>
                <w:sz w:val="24"/>
                <w:szCs w:val="24"/>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297,580</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163,189</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2.95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5/16/2027</w:t>
            </w:r>
          </w:p>
        </w:tc>
        <w:tc>
          <w:tcPr>
            <w:tcW w:w="0" w:type="dxa"/>
            <w:vAlign w:val="bottom"/>
          </w:tcPr>
          <w:p>
            <w:pPr>
              <w:spacing w:after="0"/>
              <w:rPr>
                <w:sz w:val="1"/>
                <w:szCs w:val="1"/>
                <w:color w:val="auto"/>
              </w:rPr>
            </w:pPr>
          </w:p>
        </w:tc>
      </w:tr>
      <w:tr>
        <w:trPr>
          <w:trHeight w:val="189"/>
        </w:trPr>
        <w:tc>
          <w:tcPr>
            <w:tcW w:w="4260" w:type="dxa"/>
            <w:vAlign w:val="bottom"/>
            <w:gridSpan w:val="2"/>
          </w:tcPr>
          <w:p>
            <w:pPr>
              <w:spacing w:after="0"/>
              <w:rPr>
                <w:sz w:val="20"/>
                <w:szCs w:val="20"/>
                <w:color w:val="auto"/>
              </w:rPr>
            </w:pPr>
            <w:r>
              <w:rPr>
                <w:rFonts w:ascii="Arial" w:cs="Arial" w:eastAsia="Arial" w:hAnsi="Arial"/>
                <w:sz w:val="16"/>
                <w:szCs w:val="16"/>
                <w:color w:val="auto"/>
              </w:rPr>
              <w:t>Winston Kung</w:t>
            </w:r>
          </w:p>
        </w:tc>
        <w:tc>
          <w:tcPr>
            <w:tcW w:w="400" w:type="dxa"/>
            <w:vAlign w:val="bottom"/>
          </w:tcPr>
          <w:p>
            <w:pPr>
              <w:spacing w:after="0"/>
              <w:rPr>
                <w:sz w:val="16"/>
                <w:szCs w:val="16"/>
                <w:color w:val="auto"/>
              </w:rPr>
            </w:pPr>
          </w:p>
        </w:tc>
        <w:tc>
          <w:tcPr>
            <w:tcW w:w="1480" w:type="dxa"/>
            <w:vAlign w:val="bottom"/>
            <w:gridSpan w:val="2"/>
          </w:tcPr>
          <w:p>
            <w:pPr>
              <w:jc w:val="right"/>
              <w:ind w:right="371"/>
              <w:spacing w:after="0" w:line="189" w:lineRule="exact"/>
              <w:rPr>
                <w:sz w:val="20"/>
                <w:szCs w:val="20"/>
                <w:color w:val="auto"/>
              </w:rPr>
            </w:pPr>
            <w:r>
              <w:rPr>
                <w:rFonts w:ascii="Arial" w:cs="Arial" w:eastAsia="Arial" w:hAnsi="Arial"/>
                <w:sz w:val="13"/>
                <w:szCs w:val="13"/>
                <w:color w:val="auto"/>
              </w:rPr>
              <w:t>2/22/2018</w:t>
            </w:r>
            <w:r>
              <w:rPr>
                <w:rFonts w:ascii="Arial" w:cs="Arial" w:eastAsia="Arial" w:hAnsi="Arial"/>
                <w:sz w:val="21"/>
                <w:szCs w:val="21"/>
                <w:color w:val="auto"/>
                <w:vertAlign w:val="superscript"/>
              </w:rPr>
              <w:t>(6)</w:t>
            </w:r>
          </w:p>
        </w:tc>
        <w:tc>
          <w:tcPr>
            <w:tcW w:w="860" w:type="dxa"/>
            <w:vAlign w:val="bottom"/>
          </w:tcPr>
          <w:p>
            <w:pPr>
              <w:jc w:val="right"/>
              <w:spacing w:after="0"/>
              <w:rPr>
                <w:sz w:val="20"/>
                <w:szCs w:val="20"/>
                <w:color w:val="auto"/>
              </w:rPr>
            </w:pPr>
            <w:r>
              <w:rPr>
                <w:rFonts w:ascii="Arial" w:cs="Arial" w:eastAsia="Arial" w:hAnsi="Arial"/>
                <w:sz w:val="16"/>
                <w:szCs w:val="16"/>
                <w:color w:val="auto"/>
              </w:rPr>
              <w:t>476,047</w:t>
            </w:r>
          </w:p>
        </w:tc>
        <w:tc>
          <w:tcPr>
            <w:tcW w:w="46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6"/>
                <w:szCs w:val="16"/>
                <w:color w:val="auto"/>
              </w:rPr>
              <w:t>3.22</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2/22/2028</w:t>
            </w:r>
          </w:p>
        </w:tc>
        <w:tc>
          <w:tcPr>
            <w:tcW w:w="0" w:type="dxa"/>
            <w:vAlign w:val="bottom"/>
          </w:tcPr>
          <w:p>
            <w:pPr>
              <w:spacing w:after="0"/>
              <w:rPr>
                <w:sz w:val="1"/>
                <w:szCs w:val="1"/>
                <w:color w:val="auto"/>
              </w:rPr>
            </w:pPr>
          </w:p>
        </w:tc>
      </w:tr>
      <w:tr>
        <w:trPr>
          <w:trHeight w:val="189"/>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Deepika Jalota, Pharm.D.</w:t>
            </w:r>
          </w:p>
        </w:tc>
        <w:tc>
          <w:tcPr>
            <w:tcW w:w="1880" w:type="dxa"/>
            <w:vAlign w:val="bottom"/>
            <w:gridSpan w:val="3"/>
            <w:shd w:val="clear" w:color="auto" w:fill="CCEEFF"/>
          </w:tcPr>
          <w:p>
            <w:pPr>
              <w:jc w:val="right"/>
              <w:ind w:right="371"/>
              <w:spacing w:after="0" w:line="189" w:lineRule="exact"/>
              <w:rPr>
                <w:sz w:val="20"/>
                <w:szCs w:val="20"/>
                <w:color w:val="auto"/>
              </w:rPr>
            </w:pPr>
            <w:r>
              <w:rPr>
                <w:rFonts w:ascii="Arial" w:cs="Arial" w:eastAsia="Arial" w:hAnsi="Arial"/>
                <w:sz w:val="13"/>
                <w:szCs w:val="13"/>
                <w:color w:val="auto"/>
              </w:rPr>
              <w:t>8/21/2019</w:t>
            </w:r>
            <w:r>
              <w:rPr>
                <w:rFonts w:ascii="Arial" w:cs="Arial" w:eastAsia="Arial" w:hAnsi="Arial"/>
                <w:sz w:val="21"/>
                <w:szCs w:val="21"/>
                <w:color w:val="auto"/>
                <w:vertAlign w:val="superscript"/>
              </w:rPr>
              <w:t>(7)</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90,216</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3.53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8/21/2029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Each of the outstanding options to purchase shares of our common stock was granted pursuant to our 2013 Plan.</w:t>
      </w:r>
    </w:p>
    <w:p>
      <w:pPr>
        <w:ind w:left="660" w:hanging="544"/>
        <w:spacing w:after="0" w:line="187" w:lineRule="auto"/>
        <w:tabs>
          <w:tab w:leader="none" w:pos="660" w:val="left"/>
        </w:tabs>
        <w:numPr>
          <w:ilvl w:val="0"/>
          <w:numId w:val="95"/>
        </w:numPr>
        <w:rPr>
          <w:rFonts w:ascii="Arial" w:cs="Arial" w:eastAsia="Arial" w:hAnsi="Arial"/>
          <w:sz w:val="18"/>
          <w:szCs w:val="18"/>
          <w:color w:val="auto"/>
          <w:vertAlign w:val="superscript"/>
        </w:rPr>
      </w:pPr>
      <w:r>
        <w:rPr>
          <w:rFonts w:ascii="Arial" w:cs="Arial" w:eastAsia="Arial" w:hAnsi="Arial"/>
          <w:sz w:val="11"/>
          <w:szCs w:val="11"/>
          <w:color w:val="auto"/>
        </w:rPr>
        <w:t>This column represents the fair market value of a share of our common stock on the date of grant, as determined by our board of directors.</w:t>
      </w:r>
    </w:p>
    <w:p>
      <w:pPr>
        <w:ind w:left="660" w:right="140" w:hanging="544"/>
        <w:spacing w:after="0" w:line="182" w:lineRule="auto"/>
        <w:tabs>
          <w:tab w:leader="none" w:pos="66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1/4th of the shares of our common stock underlying it on May 12, 2016, and as to 1/60th in monthly installments after the initial vesting date,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380" w:hanging="544"/>
        <w:spacing w:after="0" w:line="182" w:lineRule="auto"/>
        <w:tabs>
          <w:tab w:leader="none" w:pos="66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November 16, 2016,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240" w:hanging="544"/>
        <w:spacing w:after="0" w:line="182" w:lineRule="auto"/>
        <w:tabs>
          <w:tab w:leader="none" w:pos="66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May 16, 2017,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120" w:hanging="544"/>
        <w:spacing w:after="0" w:line="215" w:lineRule="auto"/>
        <w:tabs>
          <w:tab w:leader="none" w:pos="66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option includes two tranches. The first tranche (covering 75% of the shares of our common stock underlying the option) vests as to 1/4th of the shares of our common stock underlying it on November 27, 2018, and as to an additional 1/48th of the shares of our common stock underlying it in monthly installments after the initial vesting date, subject to the named executive officer’s continued service through each vesting date. The second tranche (covering 25% of the total number of shares of our common stock underlying the option) vests as to 1/48th of the shares of our common stock underlying it in monthly installments, subject to the named executive officer’s continued service through each vesting date, following achievement of the performance vesting condition, which is the first to occur of (i) the first day of our initial public offering or (ii) an alliance transaction entered into by us with the approval of our board which is valued at $100,000,000 or more.</w:t>
      </w:r>
    </w:p>
    <w:p>
      <w:pPr>
        <w:spacing w:after="0" w:line="3" w:lineRule="exact"/>
        <w:rPr>
          <w:rFonts w:ascii="Arial" w:cs="Arial" w:eastAsia="Arial" w:hAnsi="Arial"/>
          <w:sz w:val="24"/>
          <w:szCs w:val="24"/>
          <w:color w:val="auto"/>
          <w:vertAlign w:val="superscript"/>
        </w:rPr>
      </w:pPr>
    </w:p>
    <w:p>
      <w:pPr>
        <w:ind w:left="660" w:right="280" w:hanging="544"/>
        <w:spacing w:after="0" w:line="185" w:lineRule="auto"/>
        <w:tabs>
          <w:tab w:leader="none" w:pos="66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option vests as to 1/4th of the shares of our common stock underlying it on June 10, 2020, and as to an additional 1/48th of the shares of our common stock underlying it in monthly installments after the initial vesting date, subject to the named executive officer’s continued service through each vesting date.</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H. Mack, Ph.D.</w:t>
      </w:r>
    </w:p>
    <w:p>
      <w:pPr>
        <w:spacing w:after="0" w:line="10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color w:val="auto"/>
        </w:rPr>
        <w:t>We have enterd into a confirmatory employment letter with Dr. Mack, our President and Chief Executive Officer. The confirmatory employment letter currently has no specific term and provides for at-will employment. Dr. Mack’s current annual base salary is $525,100, and Dr. Mack’s annual target bonus is 50% of his annual base salary.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Winston Kung</w:t>
      </w:r>
    </w:p>
    <w:p>
      <w:pPr>
        <w:spacing w:after="0" w:line="104"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We have entered into a confirmatory employment letter with Mr. Kung, our Chief Operating Officer and Chief Financial Officer. The confirmatory employment letter currently has no specific term and provides for at-will employment. Mr. Kung’s current annual base salary is $437,100, and Mr. Kung’s annual target bonus is 40% of his annual base salary.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Deepika Jalota, Pharm.D.</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have entered into a confirmatory employment letter with Dr. Jalota, our Senior Vice President, Regulatory Affairs and Quality Assurance. The confirmatory employment letter has no specific term and provides for at-will employment. Dr. Jalota’s current annual base salary is $362,300, and Dr. Jalota’s annual target bonus is 35% of her annual base salary.</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 Bonus Plan</w:t>
      </w:r>
    </w:p>
    <w:p>
      <w:pPr>
        <w:spacing w:after="0" w:line="214"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18"/>
          <w:szCs w:val="18"/>
          <w:color w:val="auto"/>
        </w:rPr>
        <w:t>Each of our executive officers is eligible for an annual bonus under our management bonus plan and has an established target bonus amount as set forth in the section titled “Executive Compensation—Employment Arrangements with Our Named Executive Officers.” For 2019, our board determined each eligible executive officer’s actual bonus based upon an assessment of achievement of corporate goals, which included specified study, pipeline and financial goals.</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Employee Incentive Compensation Plan</w:t>
      </w:r>
    </w:p>
    <w:p>
      <w:pPr>
        <w:spacing w:after="0" w:line="106"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board of directors adopted an Employee Incentive Compensation Plan, or Incentive Compensation Plan. Our Incentive Compensation Plan allows our compensation committee to provide cash incentive awards to employees selected by our compensation committee, including our named executive officers, based upon performance goals established by our compensation committee. Pursuant to the Incentive Compensation Plan, our compensation committee, in its sole discretion, establishes a target award for each participant and a bonus pool, with actual awards payable from such bonus pool, with respect to the applicable performance period.</w:t>
      </w:r>
    </w:p>
    <w:p>
      <w:pPr>
        <w:spacing w:after="0" w:line="17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Under our Incentive Compensation Plan, our compensation committee determines the performance goals applicable to any award, which goals may include, without limitation, attainment of research and development and/or clinical development milestones, bookings, business divestitures and acquisitions, capital raising, cash flow, cash position, contract awards or backlog, customer renewals, customer retention rates from an acquired company, subsidiary, business unit or division, earnings (which may include earnings before interest and taxes, earnings before taxes, and net taxes), earnings per share, expenses, financial milestones, gross margin, growth in stockholder value relative to the moving average of the S&amp;P 500 Index or another index, internal rate of return, internal structure, leadership development, license or research collaboration agreements, market share, net income, net profit, net sales, new product development, new product or business invention or innovation, number of customers, operating cash flow, operating expenses, operating income, operating margin, overhead or other expense reduction, patentability, publications, procurement, product defect measures, product release timelines or other product release milestones, productivity, profit, project, function or portfolio-specific milestones,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and individual objectives such as peer reviews or other subjective or objective criteria. The performance goals may differ from participant to participant and from award to award.</w:t>
      </w:r>
    </w:p>
    <w:p>
      <w:pPr>
        <w:spacing w:after="0" w:line="177"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compensation committee administers our Incentive Compensation Plan. The administrator of our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5" w:right="49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Actual awards will be paid in cash (or its equivalent) in a single lump sum only after they are earned, which usually requires continued employment through the date the actual award is paid. The compensation committee reserves the right to settle an actual award with a grant of an equity award under the Company’s then-current equity compensation plan, which equity award may have such terms and conditions, as the compensation committee determines. Payment of awards occurs as soon as administratively practicable after they are earned, but no later than the dates set forth in our Incentive Compensation Plan.</w:t>
      </w:r>
    </w:p>
    <w:p>
      <w:pPr>
        <w:spacing w:after="0" w:line="172" w:lineRule="exact"/>
        <w:rPr>
          <w:sz w:val="20"/>
          <w:szCs w:val="20"/>
          <w:color w:val="auto"/>
        </w:rPr>
      </w:pPr>
    </w:p>
    <w:p>
      <w:pPr>
        <w:ind w:left="120" w:right="400" w:firstLine="551"/>
        <w:spacing w:after="0" w:line="306" w:lineRule="auto"/>
        <w:rPr>
          <w:sz w:val="20"/>
          <w:szCs w:val="20"/>
          <w:color w:val="auto"/>
        </w:rPr>
      </w:pPr>
      <w:r>
        <w:rPr>
          <w:rFonts w:ascii="Arial" w:cs="Arial" w:eastAsia="Arial" w:hAnsi="Arial"/>
          <w:sz w:val="17"/>
          <w:szCs w:val="17"/>
          <w:color w:val="auto"/>
        </w:rPr>
        <w:t>Our board of directors and our compensation committee have the authority to amend, alter, suspend or terminate our Incentive Compensation Plan, provided such action does not impair the existing rights of any participant with respect to any earned awards.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1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currently have a Change in Control and Severance Policy, or Severance Policy, and have entered into participation agreements under the Severance Policy with certain employees, including Dr. Mack, Mr. Kung and Dr. Jalota. The form of participation agreement to the Change in Control and Severance Policy was amended in August 2020.</w:t>
      </w:r>
    </w:p>
    <w:p>
      <w:pPr>
        <w:spacing w:after="0" w:line="16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Severance Policy and related participation agreements provide that if we (or any of our subsidiaries) terminate a participant’s employment during the period beginning three months prior to and ending 12 months after a “change in control” (as defined in the Severance Policy) (such period, the “change in control period”) other than for “cause” (as defined in the Severance Policy), death or disability, and, in the case of Dr. Mack and Mr. Kung, the termination of employment by the participant for “good reason” (as defined in the Severance Policy), the participant will receive the following:</w:t>
      </w:r>
    </w:p>
    <w:p>
      <w:pPr>
        <w:spacing w:after="0" w:line="78" w:lineRule="exact"/>
        <w:rPr>
          <w:sz w:val="20"/>
          <w:szCs w:val="20"/>
          <w:color w:val="auto"/>
        </w:rPr>
      </w:pPr>
    </w:p>
    <w:p>
      <w:pPr>
        <w:ind w:left="880" w:right="40" w:hanging="224"/>
        <w:spacing w:after="0" w:line="255"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100% acceleration of unvested equity awards (in the case of performance-based equity awards, unless otherwise determined by us and set forth in the equity award agreement, all performance goals and other vesting criteria will be deemed achieved at 100% of target levels);</w:t>
      </w:r>
    </w:p>
    <w:p>
      <w:pPr>
        <w:spacing w:after="0" w:line="69"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lump sum payment equal to the amount specified in the participant’s participation agreement (18 months’ base salary for Dr. Mack, 12 months’ base salary for Mr. Kung and nine months for Dr. Jalota);</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target annual bonus for the year of termination equal to the amount specified in the participant’s participation agreement ($393,825 for Dr. Mack, $174,840 for Mr. Kung and the greater of 75% or pro-rata for Dr. Jalota); and</w:t>
      </w:r>
    </w:p>
    <w:p>
      <w:pPr>
        <w:spacing w:after="0" w:line="50"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premiums, as applicable, for a time period specified in the participant’s participation agreement (18 months for Dr. Mack, 12 months for Mr. Kung and six months for Dr. Jalota).</w:t>
      </w:r>
    </w:p>
    <w:p>
      <w:pPr>
        <w:spacing w:after="0" w:line="145" w:lineRule="exact"/>
        <w:rPr>
          <w:sz w:val="20"/>
          <w:szCs w:val="20"/>
          <w:color w:val="auto"/>
        </w:rPr>
      </w:pPr>
    </w:p>
    <w:p>
      <w:pPr>
        <w:ind w:left="120" w:right="520" w:firstLine="551"/>
        <w:spacing w:after="0" w:line="255" w:lineRule="auto"/>
        <w:rPr>
          <w:sz w:val="20"/>
          <w:szCs w:val="20"/>
          <w:color w:val="auto"/>
        </w:rPr>
      </w:pPr>
      <w:r>
        <w:rPr>
          <w:rFonts w:ascii="Arial" w:cs="Arial" w:eastAsia="Arial" w:hAnsi="Arial"/>
          <w:sz w:val="18"/>
          <w:szCs w:val="18"/>
          <w:color w:val="auto"/>
        </w:rPr>
        <w:t>The Severance Policy and related participation agreements also provide that if we (or one of our subsidiaries) terminate a participant’s employment outside the change in control period other than for cause, death or disability, the participant will receive the following:</w:t>
      </w:r>
    </w:p>
    <w:p>
      <w:pPr>
        <w:spacing w:after="0" w:line="69" w:lineRule="exact"/>
        <w:rPr>
          <w:sz w:val="20"/>
          <w:szCs w:val="20"/>
          <w:color w:val="auto"/>
        </w:rPr>
      </w:pPr>
    </w:p>
    <w:p>
      <w:pPr>
        <w:ind w:left="880" w:right="140" w:hanging="224"/>
        <w:spacing w:after="0" w:line="248"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acceleration of vesting of time-based unvested equity awards granted prior to the effectiveness of this offering equal to the amount specified in the participant’s participation agreement (equal to the number of shares otherwise scheduled to vest during the 12 month period following the date of termination for Dr. Mack and the six month period following the date of termination for Mr. Kung and Dr. Jalota);</w:t>
      </w:r>
    </w:p>
    <w:p>
      <w:pPr>
        <w:spacing w:after="0" w:line="75"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lump sum payment equal to amount specified in the participant’s participation agreement (12 months’ base salary for Dr. Mack, nine months’ base salary for Mr. Kung and six months’ base salary for Dr. Jalota); and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60" w:hanging="224"/>
        <w:spacing w:after="0" w:line="276"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premiums, as applicable, for a time period specified in the participant’s participation agreement (12 months for Dr. Mack, nine months for Mr. Kung and six months for Dr. Jalota).</w:t>
      </w:r>
    </w:p>
    <w:p>
      <w:pPr>
        <w:spacing w:after="0" w:line="14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In addition, the Severance Policy provides that if any payments or benefits received by a participant under the Severance Policy or otherwise would constitute “parachute payments” within the meaning of Section 280G of the U.S. Internal Revenue Code of 1986, as amended, or Code, and may be subject to excise taxes imposed by Section 4999 of the Code, such amount will either be delivered in full or reduced so as not to be subject to excise taxation, whichever amount is higher, taking into account applicable taxes. The Severance Policy does not require us to provide any tax gross-ups.</w:t>
      </w:r>
    </w:p>
    <w:p>
      <w:pPr>
        <w:spacing w:after="0" w:line="172"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To receive the severance described above, the participant must sign and not revoke our standard separation agreement and release of claims within the timeframe that is set forth in the Severance Policy.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 Benefit and Stock Plans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board of directors adopted, and our stockholders will approve, our 2020 Equity Incentive Plan, or 2020 Plan. The 2020 Plan will be effective on the business day immediately prior to the effective date of the registration statement of which this prospectus forms a part. Our 2020 Plan will provide for the grant of incentive stock options, within the meaning of Section 422 of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any of our future subsidiary corporations’ employees and consultants.</w:t>
      </w:r>
    </w:p>
    <w:p>
      <w:pPr>
        <w:spacing w:after="0" w:line="17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4,406,374 shares of our common stock are reserved for issuance pursuant to our 2020 Plan.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shares reserved for issuance under our 2020 Plan will also include shares of our common stock subject to awards granted under our 2013 Plan that, after the effectiveness of this offering, expire or otherwise terminate without having been exercised in full or are forfeited to or repurchased by us (provided that the maximum number of shares that may be added to the 2020 Plan is 3,955,290 shares). The number of shares available for issuance under our 2020 Plan will also include an annual increase on the first day of each fiscal year beginning with our 2021 fiscal year, equal to the lesser of:</w:t>
      </w:r>
    </w:p>
    <w:p>
      <w:pPr>
        <w:spacing w:after="0" w:line="79" w:lineRule="exact"/>
        <w:rPr>
          <w:sz w:val="20"/>
          <w:szCs w:val="20"/>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4,406,374 shares;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5% of the outstanding shares of our common stock as of the last day of the immediately preceding fiscal year;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automatic share increase will lapse following the increase of the first day of 2030.</w:t>
      </w:r>
    </w:p>
    <w:p>
      <w:pPr>
        <w:spacing w:after="0" w:line="21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2020 Plan (unless the 2020 Plan has terminated). With respect to stock appreciation rights, only the net shares actually issued will cease to be available under the 2020 Plan and all remaining shares under stock</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41" w:lineRule="auto"/>
        <w:rPr>
          <w:sz w:val="20"/>
          <w:szCs w:val="20"/>
          <w:color w:val="auto"/>
        </w:rPr>
      </w:pPr>
      <w:r>
        <w:rPr>
          <w:rFonts w:ascii="Arial" w:cs="Arial" w:eastAsia="Arial" w:hAnsi="Arial"/>
          <w:sz w:val="18"/>
          <w:szCs w:val="18"/>
          <w:color w:val="auto"/>
        </w:rPr>
        <w:t>appreciation rights will remain available for future grant or sale under the 2020 Plan (unless the 2020 Plan has terminated). Shares that have actually been issued under the 2020 Plan will not be returned to the 2020 Plan except if shares issued pursuant to awards of restricted stock, restricted stock units, performance shares, or performance units are repurchased by or forfeited to us, such shares will become available for future grant under the 2020 Plan. Shares used to pay the exercise price of an award or satisfy the tax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one or more committees appointed by our board of directors will administer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The compensation committee of our board of directors will initially administer our 2020 Plan. In addition, if we determine it is desirable to qualify transactions under our 2020 Plan as exempt under Rule 16b-3 of the Securities Exchange Act of 1934, as amended, or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may be granted under our 2020 Plan. The exercise price of options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be equal 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other terms of options.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may be granted under our 2020 Plan. Stock appreciation rights allow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8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under our 2020 Plan. Restricted stock awards are grants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granted under our 2020 Plan. Restricted stock units are bookkeeping</w:t>
      </w:r>
      <w:r>
        <w:rPr>
          <w:rFonts w:ascii="Arial" w:cs="Arial" w:eastAsia="Arial" w:hAnsi="Arial"/>
          <w:sz w:val="18"/>
          <w:szCs w:val="18"/>
          <w:i w:val="1"/>
          <w:iCs w:val="1"/>
          <w:color w:val="auto"/>
        </w:rPr>
        <w:t xml:space="preserve"> </w:t>
      </w:r>
      <w:r>
        <w:rPr>
          <w:rFonts w:ascii="Arial" w:cs="Arial" w:eastAsia="Arial" w:hAnsi="Arial"/>
          <w:sz w:val="18"/>
          <w:szCs w:val="18"/>
          <w:color w:val="auto"/>
        </w:rPr>
        <w:t>entries representing an amount equal to the fair market value of one share of our common stock. Subject to the provisions of our 2020 Plan, the administrator determines the terms and conditions of restricted stock units,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8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Performance Units and Performance Shares</w:t>
      </w:r>
      <w:r>
        <w:rPr>
          <w:rFonts w:ascii="Arial" w:cs="Arial" w:eastAsia="Arial" w:hAnsi="Arial"/>
          <w:sz w:val="18"/>
          <w:szCs w:val="18"/>
          <w:color w:val="auto"/>
        </w:rPr>
        <w:t>. Performance units and performance shares may be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76" w:lineRule="auto"/>
        <w:rPr>
          <w:sz w:val="20"/>
          <w:szCs w:val="20"/>
          <w:color w:val="auto"/>
        </w:rPr>
      </w:pPr>
      <w:r>
        <w:rPr>
          <w:rFonts w:ascii="Arial" w:cs="Arial" w:eastAsia="Arial" w:hAnsi="Arial"/>
          <w:sz w:val="18"/>
          <w:szCs w:val="18"/>
          <w:color w:val="auto"/>
        </w:rPr>
        <w:t>market value of our common stock on the grant date. The administrator, in its sole discretion, may pay out earned performance units or performance shares in cash, shares or in some combination thereof.</w:t>
      </w:r>
    </w:p>
    <w:p>
      <w:pPr>
        <w:spacing w:after="0" w:line="145"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i w:val="1"/>
          <w:iCs w:val="1"/>
          <w:color w:val="auto"/>
        </w:rPr>
        <w:t>Outside Directors</w:t>
      </w:r>
      <w:r>
        <w:rPr>
          <w:rFonts w:ascii="Arial" w:cs="Arial" w:eastAsia="Arial" w:hAnsi="Arial"/>
          <w:sz w:val="18"/>
          <w:szCs w:val="18"/>
          <w:color w:val="auto"/>
        </w:rPr>
        <w:t>. All outside (non-employee) directors will be eligible to receive all types of awards (except for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under our 2020 Plan. To provide a maximum limit on the cash compensation and equity awards that can be made to our outside directors, our 2020 Plan provides that in any given fiscal year, an outside director will not be granted equity awards with an aggregate value greater than $750,000 (increased to $1,000,000 in the fiscal year of his or her initial service as an outside director), with the value of each equity award based on its grant date fair value as determined according to GAAP for purposes of this limit. Any cash compensation paid or awards granted to an individual for his or her services as an employee or consultant (other than as an outside director) will not count toward this limit.</w:t>
      </w:r>
    </w:p>
    <w:p>
      <w:pPr>
        <w:spacing w:after="0" w:line="179" w:lineRule="exact"/>
        <w:rPr>
          <w:sz w:val="20"/>
          <w:szCs w:val="20"/>
          <w:color w:val="auto"/>
        </w:rPr>
      </w:pPr>
    </w:p>
    <w:p>
      <w:pPr>
        <w:jc w:val="both"/>
        <w:ind w:left="120" w:right="500" w:firstLine="551"/>
        <w:spacing w:after="0" w:line="25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2020 Plan generally does not allow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awards and only the recipient of an award may exercise an award during his or her lifetime. If the administrator makes an award transferrable, such award will contain such additional terms and conditions as the administrator deems appropriate.</w:t>
      </w:r>
    </w:p>
    <w:p>
      <w:pPr>
        <w:spacing w:after="0" w:line="164" w:lineRule="exact"/>
        <w:rPr>
          <w:sz w:val="20"/>
          <w:szCs w:val="20"/>
          <w:color w:val="auto"/>
        </w:rPr>
      </w:pPr>
    </w:p>
    <w:p>
      <w:pPr>
        <w:jc w:val="both"/>
        <w:ind w:left="120" w:right="40" w:firstLine="551"/>
        <w:spacing w:after="0" w:line="248"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benefits available under our 2020 Plan, the administrator will adjust the number and class of shares that may be delivered under our 2020 Plan and/or the number, class and price of shares covered by each outstanding award and the numerical share limits set forth in our 2020 Plan.</w:t>
      </w:r>
    </w:p>
    <w:p>
      <w:pPr>
        <w:spacing w:after="0" w:line="170"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w:t>
      </w:r>
      <w:r>
        <w:rPr>
          <w:rFonts w:ascii="Arial" w:cs="Arial" w:eastAsia="Arial" w:hAnsi="Arial"/>
          <w:sz w:val="18"/>
          <w:szCs w:val="18"/>
          <w:i w:val="1"/>
          <w:iCs w:val="1"/>
          <w:color w:val="auto"/>
        </w:rPr>
        <w:t xml:space="preserve"> </w:t>
      </w:r>
      <w:r>
        <w:rPr>
          <w:rFonts w:ascii="Arial" w:cs="Arial" w:eastAsia="Arial" w:hAnsi="Arial"/>
          <w:sz w:val="18"/>
          <w:szCs w:val="18"/>
          <w:color w:val="auto"/>
        </w:rPr>
        <w:t>as practicable and, to the extent not exercised, all awards will terminate immediately prior to the consummation of such proposed transaction.</w:t>
      </w:r>
    </w:p>
    <w:p>
      <w:pPr>
        <w:spacing w:after="0" w:line="164" w:lineRule="exact"/>
        <w:rPr>
          <w:sz w:val="20"/>
          <w:szCs w:val="20"/>
          <w:color w:val="auto"/>
        </w:rPr>
      </w:pPr>
    </w:p>
    <w:p>
      <w:pPr>
        <w:jc w:val="both"/>
        <w:ind w:left="120" w:right="240" w:firstLine="551"/>
        <w:spacing w:after="0" w:line="255"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2020 Plan provides that in the event of a merger or change in control, as defined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each outstanding award will be treated as the administrator determines, without a participant’s consent. The administrator is not required to treat all awards, all awards held by a participant or all awards of the same type similarly.</w:t>
      </w:r>
    </w:p>
    <w:p>
      <w:pPr>
        <w:spacing w:after="0" w:line="16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8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72"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will be subject to any clawback policy of ours, and the administrator also may specify in an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participant’s rights, payments and/or benefits with respect</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20"/>
        <w:spacing w:after="0" w:line="248" w:lineRule="auto"/>
        <w:rPr>
          <w:sz w:val="20"/>
          <w:szCs w:val="20"/>
          <w:color w:val="auto"/>
        </w:rPr>
      </w:pPr>
      <w:r>
        <w:rPr>
          <w:rFonts w:ascii="Arial" w:cs="Arial" w:eastAsia="Arial" w:hAnsi="Arial"/>
          <w:sz w:val="18"/>
          <w:szCs w:val="18"/>
          <w:color w:val="auto"/>
        </w:rPr>
        <w:t>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70"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2020 Plan, provided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does not materially impair the rights of any participant. Our 2020 Plan continues unless we terminate it. No incentive stock options may be granted after the ten year anniversary of the date of the 2020 Plan was adopted.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jc w:val="both"/>
        <w:ind w:left="120" w:right="20" w:firstLine="551"/>
        <w:spacing w:after="0" w:line="306" w:lineRule="auto"/>
        <w:rPr>
          <w:sz w:val="20"/>
          <w:szCs w:val="20"/>
          <w:color w:val="auto"/>
        </w:rPr>
      </w:pPr>
      <w:r>
        <w:rPr>
          <w:rFonts w:ascii="Arial" w:cs="Arial" w:eastAsia="Arial" w:hAnsi="Arial"/>
          <w:sz w:val="17"/>
          <w:szCs w:val="17"/>
          <w:color w:val="auto"/>
        </w:rPr>
        <w:t>Our board of directors adopted, and our stockholders will approve, a 2020 Employee Stock Purchase Plan, or the ESPP. Our ESPP will be effective one business day immediately before the effective date of the registration statement of which this prospectus forms a part.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The maximum number of shares of our common stock that will be available for issuance under our ESPP will be equal to the greater of 400,752 shares of our common stock. In addition, our ESPP will provide for annual increases in the number of shares of our common stock available for issuance under our ESPP on the first day of each of our fiscal years beginning with our fiscal year 2021, in an amount equal to the least of:</w:t>
      </w:r>
    </w:p>
    <w:p>
      <w:pPr>
        <w:spacing w:after="0" w:line="197" w:lineRule="exact"/>
        <w:rPr>
          <w:sz w:val="20"/>
          <w:szCs w:val="20"/>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801,504 shares;</w:t>
      </w:r>
    </w:p>
    <w:p>
      <w:pPr>
        <w:spacing w:after="0" w:line="117"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other amount determined as our board of directors may determine.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board of directors or a committee appointed by our board of directors may administer the ESPP. We anticipate that our compensation committee will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are final and binding on all participants to the maximum extent permitted by law.</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Eligibility</w:t>
      </w:r>
    </w:p>
    <w:p>
      <w:pPr>
        <w:spacing w:after="0" w:line="102" w:lineRule="exact"/>
        <w:rPr>
          <w:sz w:val="20"/>
          <w:szCs w:val="20"/>
          <w:color w:val="auto"/>
        </w:rPr>
      </w:pPr>
    </w:p>
    <w:p>
      <w:pPr>
        <w:ind w:left="120" w:right="680" w:firstLine="551"/>
        <w:spacing w:after="0" w:line="276"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five 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176" w:lineRule="exact"/>
        <w:rPr>
          <w:sz w:val="20"/>
          <w:szCs w:val="20"/>
          <w:color w:val="auto"/>
        </w:rPr>
      </w:pPr>
    </w:p>
    <w:p>
      <w:pPr>
        <w:ind w:left="120" w:right="160" w:firstLine="551"/>
        <w:spacing w:after="0" w:line="306"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 Code Section 423, and a component that does not comply with Code Section 423, or the Non-423 Component. For purposes of this summary, a reference to our ESPP generally will mean the terms and operations of the 423 Component. Our ESPP will provide for consecutive six-month offering periods. Each offering period will have one purchase period with the same duration as the offering period. The offering periods will be scheduled to begin on the first trading day on or after May 20</w:t>
      </w:r>
      <w:r>
        <w:rPr>
          <w:rFonts w:ascii="Arial" w:cs="Arial" w:eastAsia="Arial" w:hAnsi="Arial"/>
          <w:sz w:val="15"/>
          <w:szCs w:val="15"/>
          <w:color w:val="auto"/>
        </w:rPr>
        <w:t>th</w:t>
      </w:r>
      <w:r>
        <w:rPr>
          <w:rFonts w:ascii="Arial" w:cs="Arial" w:eastAsia="Arial" w:hAnsi="Arial"/>
          <w:sz w:val="18"/>
          <w:szCs w:val="18"/>
          <w:color w:val="auto"/>
        </w:rPr>
        <w:t xml:space="preserve"> and November 20</w:t>
      </w:r>
      <w:r>
        <w:rPr>
          <w:rFonts w:ascii="Arial" w:cs="Arial" w:eastAsia="Arial" w:hAnsi="Arial"/>
          <w:sz w:val="15"/>
          <w:szCs w:val="15"/>
          <w:color w:val="auto"/>
        </w:rPr>
        <w:t>th</w:t>
      </w:r>
      <w:r>
        <w:rPr>
          <w:rFonts w:ascii="Arial" w:cs="Arial" w:eastAsia="Arial" w:hAnsi="Arial"/>
          <w:sz w:val="18"/>
          <w:szCs w:val="18"/>
          <w:color w:val="auto"/>
        </w:rPr>
        <w:t xml:space="preserve"> of each year, except for the first offering period, which will begin on the first trading day on or after the effective date of the registration statement of which this prospectus forms a part and end on the first trading day on or after May 20, 2021.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Contributions</w:t>
      </w:r>
    </w:p>
    <w:p>
      <w:pPr>
        <w:spacing w:after="0" w:line="102"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of Purchase Right</w:t>
      </w:r>
    </w:p>
    <w:p>
      <w:pPr>
        <w:spacing w:after="0" w:line="102"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 will be permitted to purchase a maximum of 4,000 shares during each offering period.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Non-transferability</w:t>
      </w:r>
    </w:p>
    <w:p>
      <w:pPr>
        <w:spacing w:after="0" w:line="10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of which this prospectus forms a part, unless we terminate it earlier.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104"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Our 2013 Equity Incentive Plan, as amended, or 2013 Plan, was originally adopted by our board of directors and approved by our stockholders in July 2013. Our 2013 Plan was most recently amended in November 2019 and approved by stockholders in November 2019.</w:t>
      </w:r>
    </w:p>
    <w:p>
      <w:pPr>
        <w:spacing w:after="0" w:line="16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2013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of ours and any parent or subsidiary of ours. It is expected that as of one business day prior to the effectiveness of the registration statement of which this prospectus forms a part, our 2013 Plan will be terminated and we will not grant any additional awards under our 2013 Plan thereafter. However, our 2013 Plan will continue to govern the terms and conditions of the outstanding awards previously granted under our 2013 Plan.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As of June 30, 2020, the following awards were outstanding under our 2013 Plan: stock options covering 3,922,612 shares of our common stock.</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2013 Plan is administered by our board of directors or one or more committees appointed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Different committees may administer our 2013 Plan with respect to different service providers. The administrator has all authority and discretion necessary or appropriate to administer our 2013 Plan and to control its operation, including the authority to construe and interpret the terms of our 2013 Plan and the awards granted under our 2013 Plan. The administrator’s decisions are final and binding on all participants and any other persons holding awards.</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our 2013 Plan, to modify or amend each award and to make all other determinations deemed necessary or advisable for administering our 2013 Plan.</w:t>
      </w:r>
    </w:p>
    <w:p>
      <w:pPr>
        <w:spacing w:after="0" w:line="17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directors and consultants of ours or our parent or subsidiary companies are eligible to receive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such consultants render bona fide services not in connection with the offer and sale of securities in a capital-raising transaction and do not directly promote or maintain a market for our securities. Only our employees or employees of our parent or subsidiary companies are eligible to receive incentive stock options.</w:t>
      </w:r>
    </w:p>
    <w:p>
      <w:pPr>
        <w:spacing w:after="0" w:line="170" w:lineRule="exact"/>
        <w:rPr>
          <w:sz w:val="20"/>
          <w:szCs w:val="20"/>
          <w:color w:val="auto"/>
        </w:rPr>
      </w:pPr>
    </w:p>
    <w:p>
      <w:pPr>
        <w:ind w:left="120" w:right="220" w:firstLine="551"/>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have been granted under our 2013 Plan. Subject to the provisions of our 2013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term of an option, the number of shares subject to an option and the time period in which an option may be exercised.</w:t>
      </w:r>
    </w:p>
    <w:p>
      <w:pPr>
        <w:spacing w:after="0" w:line="16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ten years from the grant date. The administrator determines the exercise price of options, which generally may not be less than 100% of the fair market value of our common stock on the grant date, unless expressly determined in writing by the administrator on the option’s grant date. However, an incentive stock option granted to an individual who directly or by attribution owns more than 10% of the total combined voting power of all of our classes of stock or of any our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our plans and any parent or subsidiary) exceeds $100,000, such options will be treated as nonstatutory stock options. Certain of the company’s outstanding options under our 2013 Plan have an early exercise provisions pursuant to which the participate may exercise the option prior to the shares being fully vested.</w:t>
      </w:r>
    </w:p>
    <w:p>
      <w:pPr>
        <w:spacing w:after="0" w:line="18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administrator determines how a participant may pay the exercise price of an option, and the permissible methods are generally set forth in the applicable award agreement. If a participant’s status as a “service provider” (as defined in our 2013 Plan) terminates, that participant may exercise the vested portion of his or her option for the period of time stated in the applicable award agreement. Vested options generally will remain exercisable for three months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twelve months from the date of</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auto"/>
        </w:rPr>
        <w:t>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70" w:lineRule="exact"/>
        <w:rPr>
          <w:sz w:val="20"/>
          <w:szCs w:val="20"/>
          <w:color w:val="auto"/>
        </w:rPr>
      </w:pPr>
    </w:p>
    <w:p>
      <w:pPr>
        <w:ind w:left="120" w:right="300" w:firstLine="551"/>
        <w:spacing w:after="0" w:line="24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pledged, assigned,</w:t>
      </w:r>
      <w:r>
        <w:rPr>
          <w:rFonts w:ascii="Arial" w:cs="Arial" w:eastAsia="Arial" w:hAnsi="Arial"/>
          <w:sz w:val="18"/>
          <w:szCs w:val="18"/>
          <w:i w:val="1"/>
          <w:iCs w:val="1"/>
          <w:color w:val="auto"/>
        </w:rPr>
        <w:t xml:space="preserve"> </w:t>
      </w:r>
      <w:r>
        <w:rPr>
          <w:rFonts w:ascii="Arial" w:cs="Arial" w:eastAsia="Arial" w:hAnsi="Arial"/>
          <w:sz w:val="18"/>
          <w:szCs w:val="18"/>
          <w:color w:val="auto"/>
        </w:rPr>
        <w:t>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of cash, or (iii) as permitted by Rule 701 of the Securities Act of 1933, as amended, or Securities Act.</w:t>
      </w:r>
    </w:p>
    <w:p>
      <w:pPr>
        <w:spacing w:after="0" w:line="17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If there is a dividend or other distribution (whether in the form of cash, shares, other securities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our 2013 Plan or the number, type and price of shares covered by each outstanding award. The administrator’s determination regarding such adjustments will be final, binding and conclusive.</w:t>
      </w:r>
    </w:p>
    <w:p>
      <w:pPr>
        <w:spacing w:after="0" w:line="17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w:t>
      </w:r>
      <w:r>
        <w:rPr>
          <w:rFonts w:ascii="Arial" w:cs="Arial" w:eastAsia="Arial" w:hAnsi="Arial"/>
          <w:sz w:val="18"/>
          <w:szCs w:val="18"/>
          <w:i w:val="1"/>
          <w:iCs w:val="1"/>
          <w:color w:val="auto"/>
        </w:rPr>
        <w:t xml:space="preserve"> </w:t>
      </w:r>
      <w:r>
        <w:rPr>
          <w:rFonts w:ascii="Arial" w:cs="Arial" w:eastAsia="Arial" w:hAnsi="Arial"/>
          <w:sz w:val="18"/>
          <w:szCs w:val="18"/>
          <w:color w:val="auto"/>
        </w:rPr>
        <w:t>soon as practicable prior to the effective date of such proposed transaction. To the extent it has not been previously exercised, an award will terminate immediately prior to the consummation of such proposed action.</w:t>
      </w:r>
    </w:p>
    <w:p>
      <w:pPr>
        <w:spacing w:after="0" w:line="164"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i w:val="1"/>
          <w:iCs w:val="1"/>
          <w:color w:val="auto"/>
        </w:rPr>
        <w:t>Merger and Change of Control</w:t>
      </w:r>
      <w:r>
        <w:rPr>
          <w:rFonts w:ascii="Arial" w:cs="Arial" w:eastAsia="Arial" w:hAnsi="Arial"/>
          <w:sz w:val="18"/>
          <w:szCs w:val="18"/>
          <w:color w:val="auto"/>
        </w:rPr>
        <w:t>. In the event of our merger with or into another corporation or entity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our 2013 Plan), each outstanding award will be treated as the administrator determines, including, without limitation, that</w:t>
      </w:r>
    </w:p>
    <w:p>
      <w:pPr>
        <w:spacing w:after="0" w:line="1" w:lineRule="exact"/>
        <w:rPr>
          <w:sz w:val="20"/>
          <w:szCs w:val="20"/>
          <w:color w:val="auto"/>
        </w:rPr>
      </w:pPr>
    </w:p>
    <w:p>
      <w:pPr>
        <w:ind w:left="120" w:hanging="4"/>
        <w:spacing w:after="0" w:line="236" w:lineRule="auto"/>
        <w:tabs>
          <w:tab w:leader="none" w:pos="33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82" w:lineRule="exact"/>
        <w:rPr>
          <w:sz w:val="20"/>
          <w:szCs w:val="20"/>
          <w:color w:val="auto"/>
        </w:rPr>
      </w:pPr>
    </w:p>
    <w:p>
      <w:pPr>
        <w:ind w:left="120" w:right="280" w:firstLine="551"/>
        <w:spacing w:after="0" w:line="245" w:lineRule="auto"/>
        <w:rPr>
          <w:sz w:val="20"/>
          <w:szCs w:val="20"/>
          <w:color w:val="auto"/>
        </w:rPr>
      </w:pPr>
      <w:r>
        <w:rPr>
          <w:rFonts w:ascii="Arial" w:cs="Arial" w:eastAsia="Arial" w:hAnsi="Arial"/>
          <w:sz w:val="18"/>
          <w:szCs w:val="18"/>
          <w:color w:val="auto"/>
        </w:rPr>
        <w:t>In the event that (i) a participant is terminated for reasons other than cause, death or disability (as such terms are defined in our 2013 Plan), or terminates employment following a resignation for good reason (as such term is defined in our 2013 Plan),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 (30) days prior to the effective date of a change of</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control), or (ii) 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w:t>
      </w:r>
    </w:p>
    <w:p>
      <w:pPr>
        <w:spacing w:after="0" w:line="164"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at any time, terminate or amend our 2013 Plan in any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amendment of any form of award agreement or instrument to be executed pursuant to our 2013 Plan. To the extent necessary and desirable to comply with applicable laws, we will obtain stockholder approval of any amendment to our 2013 Plan. No amendment or alteration of our 2013 Plan will impair the rights of a participant, unless mutually agreed otherwise between the participant and the administrator in writing. As noted above, it is expected that as of one business day prior to the effectiveness of the registration statement of which this prospectus forms a part, our 2013 Plan will be terminated and we will not grant any additional awards under our 2013 Plan thereafter.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The 401(k) plan is intended to qualify under Sections 401(a) and 501(a) of the Code. We do not provide for any matching contributions under the 401(k) plan.</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1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each to be effective immediately prior to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76"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7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and intend to continue to enter, into an indemnification agreement with each member of our 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7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2017 and each currently proposed transaction in which:</w:t>
      </w:r>
    </w:p>
    <w:p>
      <w:pPr>
        <w:spacing w:after="0" w:line="76" w:lineRule="exact"/>
        <w:rPr>
          <w:sz w:val="20"/>
          <w:szCs w:val="20"/>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affiliate or immediate family member of, or person sharing a household with, any of these individuals or entities, had or will have a direct or indirect material interest.</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Sales of Securities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July 2020, we issued and sold an aggregate of 5,321,864 shares of our Series D convertible preferred stock, or Series D Preferred Stock, at a purchase price of $13.1533 per share for an aggregate purchase price of approximately $70.0 million. These shares of Series D Preferred Stock will convert into an aggregate of 5,321,864 shares of common stock immediately prior to the completion of this offering. The table below sets forth the number of shares of Series D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Series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5700" w:type="dxa"/>
            <w:vAlign w:val="bottom"/>
            <w:vMerge w:val="restart"/>
          </w:tcPr>
          <w:p>
            <w:pPr>
              <w:spacing w:after="0"/>
              <w:rPr>
                <w:sz w:val="14"/>
                <w:szCs w:val="14"/>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Affiliated Director(s) or</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Officer(s)</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6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Nextech V Oncology S.C.S., SICAV-SIF</w:t>
            </w:r>
          </w:p>
        </w:tc>
        <w:tc>
          <w:tcPr>
            <w:tcW w:w="22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Thilo Schroeder, Ph.D.</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760,267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60" w:type="dxa"/>
            <w:vAlign w:val="bottom"/>
            <w:gridSpan w:val="2"/>
          </w:tcPr>
          <w:p>
            <w:pPr>
              <w:spacing w:after="0" w:line="202" w:lineRule="exact"/>
              <w:rPr>
                <w:sz w:val="20"/>
                <w:szCs w:val="20"/>
                <w:color w:val="auto"/>
              </w:rPr>
            </w:pPr>
            <w:r>
              <w:rPr>
                <w:rFonts w:ascii="Arial" w:cs="Arial" w:eastAsia="Arial" w:hAnsi="Arial"/>
                <w:sz w:val="18"/>
                <w:szCs w:val="18"/>
                <w:color w:val="auto"/>
              </w:rPr>
              <w:t>Viking Global Opportunities Illiquid Investments Sub-master LP</w:t>
            </w:r>
          </w:p>
        </w:tc>
        <w:tc>
          <w:tcPr>
            <w:tcW w:w="23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760,267</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03"/>
        </w:trPr>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OrbiMed Advisors</w:t>
            </w:r>
          </w:p>
        </w:tc>
        <w:tc>
          <w:tcPr>
            <w:tcW w:w="236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rPr>
              <w:t>Peter Thompson, M.D.</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760,265</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9,999,997</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November 2019, we issued and sold an aggregate of 5,469,606 shares of our Series C convertible preferred stock, or Series C Preferred Stock, at a purchase price of $11.3121 per share for an aggregate purchase price of approximately $61.9 million. These shares of Series C Preferred Stock will convert into an aggregate of 5,469,606 shares of common stock immediately prior to the completion of this offering. The table below sets forth the number of shares of Series C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Series C</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46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Affiliated Director(s) or</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Officer(s)</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Nextech V Oncology S.C.S., SICAV-SIF</w:t>
            </w:r>
          </w:p>
        </w:tc>
        <w:tc>
          <w:tcPr>
            <w:tcW w:w="86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Thilo Schroeder, Ph.D.</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1,768,023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19,999,999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Viking Global Opportunities Illiquid Investments Sub-master LP</w:t>
            </w:r>
          </w:p>
        </w:tc>
        <w:tc>
          <w:tcPr>
            <w:tcW w:w="860" w:type="dxa"/>
            <w:vAlign w:val="bottom"/>
          </w:tcPr>
          <w:p>
            <w:pPr>
              <w:spacing w:after="0"/>
              <w:rPr>
                <w:sz w:val="17"/>
                <w:szCs w:val="17"/>
                <w:color w:val="auto"/>
              </w:rPr>
            </w:pPr>
          </w:p>
        </w:tc>
        <w:tc>
          <w:tcPr>
            <w:tcW w:w="2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1,326,017</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14,999,999</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Euclidean Capital LLC</w:t>
            </w:r>
          </w:p>
        </w:tc>
        <w:tc>
          <w:tcPr>
            <w:tcW w:w="86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884,010</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9,999,997</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860" w:type="dxa"/>
            <w:vAlign w:val="bottom"/>
          </w:tcPr>
          <w:p>
            <w:pPr>
              <w:spacing w:after="0"/>
              <w:rPr>
                <w:sz w:val="17"/>
                <w:szCs w:val="17"/>
                <w:color w:val="auto"/>
              </w:rPr>
            </w:pPr>
          </w:p>
        </w:tc>
        <w:tc>
          <w:tcPr>
            <w:tcW w:w="2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Peter Thompson, M.D.</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518,191</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5,861,819</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86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Arnold Oronsky, Ph.D.</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265,203</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2,999,999</w:t>
            </w:r>
          </w:p>
        </w:tc>
        <w:tc>
          <w:tcPr>
            <w:tcW w:w="0" w:type="dxa"/>
            <w:vAlign w:val="bottom"/>
          </w:tcPr>
          <w:p>
            <w:pPr>
              <w:spacing w:after="0"/>
              <w:rPr>
                <w:sz w:val="1"/>
                <w:szCs w:val="1"/>
                <w:color w:val="auto"/>
              </w:rPr>
            </w:pPr>
          </w:p>
        </w:tc>
      </w:tr>
      <w:tr>
        <w:trPr>
          <w:trHeight w:val="368"/>
        </w:trPr>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179</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February 2017, we issued and sold an aggregate of 7,672,556 shares of our Series B convertible preferred stock, or Series B Preferred Stock, at a purchase price of $9.6093 per share for an aggregate purchase price of approximately $73.7 million. These shares of Series B Preferred Stock will convert into an aggregate of 7,672,556 shares of common stock immediately prior to the completion of this offering. The table below sets forth the number of shares of Series B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Series B</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5380" w:type="dxa"/>
            <w:vAlign w:val="bottom"/>
            <w:vMerge w:val="restart"/>
          </w:tcPr>
          <w:p>
            <w:pPr>
              <w:spacing w:after="0"/>
              <w:rPr>
                <w:sz w:val="14"/>
                <w:szCs w:val="14"/>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Affiliated Director(s) or</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Officer(s)</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Euclidean Capital LLC</w:t>
            </w:r>
          </w:p>
        </w:tc>
        <w:tc>
          <w:tcPr>
            <w:tcW w:w="22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ind w:left="240"/>
              <w:spacing w:after="0" w:line="189" w:lineRule="exact"/>
              <w:rPr>
                <w:sz w:val="20"/>
                <w:szCs w:val="20"/>
                <w:color w:val="auto"/>
              </w:rPr>
            </w:pPr>
            <w:r>
              <w:rPr>
                <w:rFonts w:ascii="Arial" w:cs="Arial" w:eastAsia="Arial" w:hAnsi="Arial"/>
                <w:sz w:val="18"/>
                <w:szCs w:val="18"/>
                <w:color w:val="auto"/>
                <w:w w:val="97"/>
              </w:rPr>
              <w:t>4,162,617</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39,999,993</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242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Peter Thompson, M.D.</w:t>
            </w:r>
          </w:p>
        </w:tc>
        <w:tc>
          <w:tcPr>
            <w:tcW w:w="1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1,076,891</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10,348,207</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2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Arnold Oronsky, Ph.D.</w:t>
            </w:r>
          </w:p>
        </w:tc>
        <w:tc>
          <w:tcPr>
            <w:tcW w:w="11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1,040,654</w:t>
            </w:r>
          </w:p>
        </w:tc>
        <w:tc>
          <w:tcPr>
            <w:tcW w:w="3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r>
        <w:trPr>
          <w:trHeight w:val="243"/>
        </w:trPr>
        <w:tc>
          <w:tcPr>
            <w:tcW w:w="5940" w:type="dxa"/>
            <w:vAlign w:val="bottom"/>
            <w:gridSpan w:val="2"/>
          </w:tcPr>
          <w:p>
            <w:pPr>
              <w:spacing w:after="0"/>
              <w:rPr>
                <w:sz w:val="20"/>
                <w:szCs w:val="20"/>
                <w:color w:val="auto"/>
              </w:rPr>
            </w:pPr>
            <w:r>
              <w:rPr>
                <w:rFonts w:ascii="Arial" w:cs="Arial" w:eastAsia="Arial" w:hAnsi="Arial"/>
                <w:sz w:val="18"/>
                <w:szCs w:val="18"/>
                <w:color w:val="auto"/>
              </w:rPr>
              <w:t>TopSpin Biotech Fund II, L.P.</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Steve Winick, J.D.</w:t>
            </w:r>
            <w:r>
              <w:rPr>
                <w:rFonts w:ascii="Arial" w:cs="Arial" w:eastAsia="Arial" w:hAnsi="Arial"/>
                <w:sz w:val="15"/>
                <w:szCs w:val="15"/>
                <w:color w:val="auto"/>
                <w:w w:val="99"/>
              </w:rPr>
              <w:t>(1)</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1,040,654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 w:lineRule="exact"/>
        <w:rPr>
          <w:sz w:val="20"/>
          <w:szCs w:val="20"/>
          <w:color w:val="auto"/>
        </w:rPr>
      </w:pPr>
    </w:p>
    <w:p>
      <w:pPr>
        <w:ind w:left="660" w:hanging="544"/>
        <w:spacing w:after="0"/>
        <w:tabs>
          <w:tab w:leader="none" w:pos="66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Mr. Winick resigned from our board of directors effective September 4, 2020.</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Investors’ Rights Agreement</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are party to an amended and restated investors’ rights agreement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 Registration Rights” for additional information regarding these registration rights.</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Voting Agreement</w:t>
      </w:r>
    </w:p>
    <w:p>
      <w:pPr>
        <w:spacing w:after="0" w:line="21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are party to an amended and restated voting agreement, as amended,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Upon the consummation of this offering, the obligations of the parties to the voting agreement to vote their shares so as to elect these nominees, as well as the other rights and obligations under this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immediately prior to the completion of this offering.</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Right of First Refusal</w:t>
      </w:r>
    </w:p>
    <w:p>
      <w:pPr>
        <w:spacing w:after="0" w:line="21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Pursuant to certain of our equity compensation plans and certain agreements with our stockholders, including an amended and restated right of first refusal and co-sale agreement, we or our assignees have a right to purchase shares of our capital stock which stockholders propose to sell to other parties. Certain holders of our capital stock, including entities affiliated with Euclidean Capital LLC, InterWest Partners X, L.P., Nextech V Oncology S.C.S., SICAV-SIF, OrbiMed Private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spacing w:after="0" w:line="255" w:lineRule="auto"/>
        <w:rPr>
          <w:sz w:val="20"/>
          <w:szCs w:val="20"/>
          <w:color w:val="auto"/>
        </w:rPr>
      </w:pPr>
      <w:r>
        <w:rPr>
          <w:rFonts w:ascii="Arial" w:cs="Arial" w:eastAsia="Arial" w:hAnsi="Arial"/>
          <w:sz w:val="18"/>
          <w:szCs w:val="18"/>
          <w:color w:val="auto"/>
        </w:rPr>
        <w:t>Investments V LP, Viking Global Opportunities Illiquid Investments Sub-master LP and TopSpin Biotech Fund II, L.P., are party to the right of first refusal and co-sale agreement with a secondary right to purchase shares of our capital stock when certain stockholders propose to sell to other parties. These rights will terminate upon completion of this offering.</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Consulting Agreement with Arnold Levine, Ph.D.</w:t>
      </w:r>
    </w:p>
    <w:p>
      <w:pPr>
        <w:spacing w:after="0" w:line="214" w:lineRule="exact"/>
        <w:rPr>
          <w:sz w:val="20"/>
          <w:szCs w:val="20"/>
          <w:color w:val="auto"/>
        </w:rPr>
      </w:pPr>
    </w:p>
    <w:p>
      <w:pPr>
        <w:jc w:val="both"/>
        <w:ind w:left="120" w:right="440" w:firstLine="551"/>
        <w:spacing w:after="0" w:line="255" w:lineRule="auto"/>
        <w:rPr>
          <w:sz w:val="20"/>
          <w:szCs w:val="20"/>
          <w:color w:val="auto"/>
        </w:rPr>
      </w:pPr>
      <w:r>
        <w:rPr>
          <w:rFonts w:ascii="Arial" w:cs="Arial" w:eastAsia="Arial" w:hAnsi="Arial"/>
          <w:sz w:val="18"/>
          <w:szCs w:val="18"/>
          <w:color w:val="auto"/>
        </w:rPr>
        <w:t>We are party to a consulting agreement with Arnold Levine, Ph.D., a co-founder of our company and one of our non-employee directors, pursuant to which Dr. Levine provides us with consulting and advisory services in exchange for an annual compensation of $100,000.</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Consulting Agreement with Richard Heyman, Ph.D.</w:t>
      </w:r>
    </w:p>
    <w:p>
      <w:pPr>
        <w:spacing w:after="0" w:line="214" w:lineRule="exact"/>
        <w:rPr>
          <w:sz w:val="20"/>
          <w:szCs w:val="20"/>
          <w:color w:val="auto"/>
        </w:rPr>
      </w:pPr>
    </w:p>
    <w:p>
      <w:pPr>
        <w:ind w:left="120" w:right="640" w:firstLine="551"/>
        <w:spacing w:after="0" w:line="276" w:lineRule="auto"/>
        <w:rPr>
          <w:sz w:val="20"/>
          <w:szCs w:val="20"/>
          <w:color w:val="auto"/>
        </w:rPr>
      </w:pPr>
      <w:r>
        <w:rPr>
          <w:rFonts w:ascii="Arial" w:cs="Arial" w:eastAsia="Arial" w:hAnsi="Arial"/>
          <w:sz w:val="18"/>
          <w:szCs w:val="18"/>
          <w:color w:val="auto"/>
        </w:rPr>
        <w:t>We are party to a consulting agreement with Richard Heyman, Ph.D., one of our non-employee directors, pursuant to which Dr. Heyman provides us with consulting and advisory services in exchange for an annual cash compensation of $12,500.</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and Chairman Option Grants</w:t>
      </w:r>
    </w:p>
    <w:p>
      <w:pPr>
        <w:spacing w:after="0" w:line="214" w:lineRule="exact"/>
        <w:rPr>
          <w:sz w:val="20"/>
          <w:szCs w:val="20"/>
          <w:color w:val="auto"/>
        </w:rPr>
      </w:pPr>
    </w:p>
    <w:p>
      <w:pPr>
        <w:ind w:left="120" w:right="260" w:firstLine="551"/>
        <w:spacing w:after="0" w:line="276" w:lineRule="auto"/>
        <w:rPr>
          <w:sz w:val="20"/>
          <w:szCs w:val="20"/>
          <w:color w:val="auto"/>
        </w:rPr>
      </w:pPr>
      <w:r>
        <w:rPr>
          <w:rFonts w:ascii="Arial" w:cs="Arial" w:eastAsia="Arial" w:hAnsi="Arial"/>
          <w:sz w:val="18"/>
          <w:szCs w:val="18"/>
          <w:color w:val="auto"/>
        </w:rPr>
        <w:t>On June 23, 2020, our board of directors approved two stock option grants for 45,332 and 151,108 shares of our common stock, each with an exercise price of $4.22, to newly-appointed director and Chairman of the board of directors Richard Heyman, Ph.D.</w:t>
      </w:r>
    </w:p>
    <w:p>
      <w:pPr>
        <w:spacing w:after="0" w:line="145"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On August 12, 2020, our board of directors approved a stock option grant for 32,667 shares of our common stock, with an exercise price of $8.53, to newly-appointed director Laurie Stelzer.</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 Agreements</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entered, and intend to continue to enter,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amended and restated bylaws that will be in effect immediately prior to the completion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Related Party Transaction Policy</w:t>
      </w:r>
    </w:p>
    <w:p>
      <w:pPr>
        <w:spacing w:after="0" w:line="214"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All of the transactions described in this section occurred prior to the adoption of this policy.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beneficial ownership of our common stock as of August 31, 2020 by:</w:t>
      </w:r>
    </w:p>
    <w:p>
      <w:pPr>
        <w:spacing w:after="0" w:line="117" w:lineRule="exact"/>
        <w:rPr>
          <w:sz w:val="20"/>
          <w:szCs w:val="20"/>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12"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Exchange Act of 1934, as amended, or Exchange Act.</w:t>
      </w:r>
    </w:p>
    <w:p>
      <w:pPr>
        <w:spacing w:after="0" w:line="17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based our calculation of the percentage of beneficial ownership prior to this offering on 31,234,310 shares of our common stock outstanding as of August 31, 2020, which includes 28,188,110 shares of our common stock resulting from the conversion of all 28,188,110 outstanding shares of our convertible preferred stock into our common stock, including the shares issuable upon the conversion of our Series D convertible preferred stock issued and sold in July 2020, which will occur immediately prior to the completion of this offering, as if this conversion had occurred as of August 31, 2020. We have based our calculation of the percentage of beneficial ownership after this offering on 42,999,310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August 31,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 The following table also does not reflect any shares of common stock that may be purchased in this offering.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firstLine="551"/>
        <w:spacing w:after="0" w:line="276" w:lineRule="auto"/>
        <w:rPr>
          <w:sz w:val="20"/>
          <w:szCs w:val="20"/>
          <w:color w:val="auto"/>
        </w:rPr>
      </w:pPr>
      <w:r>
        <w:rPr>
          <w:rFonts w:ascii="Arial" w:cs="Arial" w:eastAsia="Arial" w:hAnsi="Arial"/>
          <w:sz w:val="18"/>
          <w:szCs w:val="18"/>
          <w:color w:val="auto"/>
        </w:rPr>
        <w:t>Unless otherwise indicated, the address of each beneficial owner listed in the table below is c/o PMV Pharmaceuticals, Inc., 8 Clarke Drive, Suite 3, Cranbury, New Jersey 08512.</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5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Shares Beneficially Owned</w:t>
            </w:r>
          </w:p>
        </w:tc>
        <w:tc>
          <w:tcPr>
            <w:tcW w:w="22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7"/>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4380" w:type="dxa"/>
            <w:vAlign w:val="bottom"/>
            <w:vMerge w:val="restart"/>
          </w:tcPr>
          <w:p>
            <w:pPr>
              <w:spacing w:after="0"/>
              <w:rPr>
                <w:sz w:val="15"/>
                <w:szCs w:val="15"/>
                <w:color w:val="auto"/>
              </w:rPr>
            </w:pPr>
          </w:p>
        </w:tc>
        <w:tc>
          <w:tcPr>
            <w:tcW w:w="25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Prior to this Offering</w:t>
            </w:r>
          </w:p>
        </w:tc>
        <w:tc>
          <w:tcPr>
            <w:tcW w:w="22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62"/>
        </w:trPr>
        <w:tc>
          <w:tcPr>
            <w:tcW w:w="1780" w:type="dxa"/>
            <w:vAlign w:val="bottom"/>
            <w:tcBorders>
              <w:bottom w:val="single" w:sz="8" w:color="auto"/>
            </w:tcBorders>
            <w:vMerge w:val="continue"/>
          </w:tcPr>
          <w:p>
            <w:pPr>
              <w:spacing w:after="0"/>
              <w:rPr>
                <w:sz w:val="14"/>
                <w:szCs w:val="14"/>
                <w:color w:val="auto"/>
              </w:rPr>
            </w:pPr>
          </w:p>
        </w:tc>
        <w:tc>
          <w:tcPr>
            <w:tcW w:w="4380" w:type="dxa"/>
            <w:vAlign w:val="bottom"/>
            <w:vMerge w:val="continue"/>
          </w:tcPr>
          <w:p>
            <w:pPr>
              <w:spacing w:after="0"/>
              <w:rPr>
                <w:sz w:val="14"/>
                <w:szCs w:val="14"/>
                <w:color w:val="auto"/>
              </w:rPr>
            </w:pPr>
          </w:p>
        </w:tc>
        <w:tc>
          <w:tcPr>
            <w:tcW w:w="1100" w:type="dxa"/>
            <w:vAlign w:val="bottom"/>
            <w:tcBorders>
              <w:top w:val="single" w:sz="8" w:color="auto"/>
            </w:tcBorders>
          </w:tcPr>
          <w:p>
            <w:pPr>
              <w:jc w:val="right"/>
              <w:ind w:right="321"/>
              <w:spacing w:after="0" w:line="142" w:lineRule="exact"/>
              <w:rPr>
                <w:sz w:val="20"/>
                <w:szCs w:val="20"/>
                <w:color w:val="auto"/>
              </w:rPr>
            </w:pPr>
            <w:r>
              <w:rPr>
                <w:rFonts w:ascii="Arial" w:cs="Arial" w:eastAsia="Arial" w:hAnsi="Arial"/>
                <w:sz w:val="14"/>
                <w:szCs w:val="14"/>
                <w:b w:val="1"/>
                <w:bCs w:val="1"/>
                <w:color w:val="auto"/>
              </w:rPr>
              <w:t>Shares</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500" w:type="dxa"/>
            <w:vAlign w:val="bottom"/>
          </w:tcPr>
          <w:p>
            <w:pPr>
              <w:spacing w:after="0"/>
              <w:rPr>
                <w:sz w:val="14"/>
                <w:szCs w:val="14"/>
                <w:color w:val="auto"/>
              </w:rPr>
            </w:pPr>
          </w:p>
        </w:tc>
        <w:tc>
          <w:tcPr>
            <w:tcW w:w="12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16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5% or Greater Stockholders:</w:t>
            </w:r>
          </w:p>
        </w:tc>
        <w:tc>
          <w:tcPr>
            <w:tcW w:w="1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InterWest Partners X, L.P.</w:t>
            </w:r>
            <w:r>
              <w:rPr>
                <w:rFonts w:ascii="Arial" w:cs="Arial" w:eastAsia="Arial" w:hAnsi="Arial"/>
                <w:sz w:val="21"/>
                <w:szCs w:val="21"/>
                <w:color w:val="auto"/>
                <w:vertAlign w:val="superscript"/>
              </w:rPr>
              <w:t>(1)</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6,414,356</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20.5%</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6,414,356</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Entities affiliated with OrbiMed Advisors</w:t>
            </w:r>
            <w:r>
              <w:rPr>
                <w:rFonts w:ascii="Arial" w:cs="Arial" w:eastAsia="Arial" w:hAnsi="Arial"/>
                <w:sz w:val="21"/>
                <w:szCs w:val="21"/>
                <w:color w:val="auto"/>
                <w:vertAlign w:val="superscript"/>
              </w:rPr>
              <w:t>(2)</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6,380,423</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20.4%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6,380,423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Entities affiliated with Euclidean Capital LLC</w:t>
            </w:r>
            <w:r>
              <w:rPr>
                <w:rFonts w:ascii="Arial" w:cs="Arial" w:eastAsia="Arial" w:hAnsi="Arial"/>
                <w:sz w:val="21"/>
                <w:szCs w:val="21"/>
                <w:color w:val="auto"/>
                <w:vertAlign w:val="superscript"/>
              </w:rPr>
              <w:t>(3)</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4,179,416</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13.4%</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4,179,416</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Nextech V Oncology S.C.S., SICAV-SIF</w:t>
            </w:r>
            <w:r>
              <w:rPr>
                <w:rFonts w:ascii="Arial" w:cs="Arial" w:eastAsia="Arial" w:hAnsi="Arial"/>
                <w:sz w:val="21"/>
                <w:szCs w:val="21"/>
                <w:color w:val="auto"/>
                <w:vertAlign w:val="superscript"/>
              </w:rPr>
              <w:t>(4)</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2,528,290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8.1%</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2,528,290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Viking Global Opportunities Illiquid Investments Sub-master LP</w:t>
            </w:r>
            <w:r>
              <w:rPr>
                <w:rFonts w:ascii="Arial" w:cs="Arial" w:eastAsia="Arial" w:hAnsi="Arial"/>
                <w:sz w:val="21"/>
                <w:szCs w:val="21"/>
                <w:color w:val="auto"/>
                <w:vertAlign w:val="superscript"/>
              </w:rPr>
              <w:t>(5)</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2,086,284</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6.7%</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2,086,284</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Named Executive Officers:</w:t>
            </w: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David H. Mack, Ph.D.</w:t>
            </w:r>
            <w:r>
              <w:rPr>
                <w:rFonts w:ascii="Arial" w:cs="Arial" w:eastAsia="Arial" w:hAnsi="Arial"/>
                <w:sz w:val="21"/>
                <w:szCs w:val="21"/>
                <w:color w:val="auto"/>
                <w:vertAlign w:val="superscript"/>
              </w:rPr>
              <w:t>(6)</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1,446,494</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4.5%</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1,446,494</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Winston Kung</w:t>
            </w:r>
            <w:r>
              <w:rPr>
                <w:rFonts w:ascii="Arial" w:cs="Arial" w:eastAsia="Arial" w:hAnsi="Arial"/>
                <w:sz w:val="21"/>
                <w:szCs w:val="21"/>
                <w:color w:val="auto"/>
                <w:vertAlign w:val="superscript"/>
              </w:rPr>
              <w:t>(7)</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488,801</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488,801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Deepika Jalota, Pharm.D.</w:t>
            </w:r>
            <w:r>
              <w:rPr>
                <w:rFonts w:ascii="Arial" w:cs="Arial" w:eastAsia="Arial" w:hAnsi="Arial"/>
                <w:sz w:val="21"/>
                <w:szCs w:val="21"/>
                <w:color w:val="auto"/>
                <w:vertAlign w:val="superscript"/>
              </w:rPr>
              <w:t>(8)</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32,564</w:t>
            </w:r>
          </w:p>
        </w:tc>
        <w:tc>
          <w:tcPr>
            <w:tcW w:w="14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32,564</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Non-Employee Directors:</w:t>
            </w: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Richard Heyman, Ph.D.</w:t>
            </w:r>
            <w:r>
              <w:rPr>
                <w:rFonts w:ascii="Arial" w:cs="Arial" w:eastAsia="Arial" w:hAnsi="Arial"/>
                <w:sz w:val="21"/>
                <w:szCs w:val="21"/>
                <w:color w:val="auto"/>
                <w:vertAlign w:val="superscript"/>
              </w:rPr>
              <w:t>(9)</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64,393</w:t>
            </w:r>
          </w:p>
        </w:tc>
        <w:tc>
          <w:tcPr>
            <w:tcW w:w="14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64,393</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Arnold Levine, Ph.D.</w:t>
            </w:r>
            <w:r>
              <w:rPr>
                <w:rFonts w:ascii="Arial" w:cs="Arial" w:eastAsia="Arial" w:hAnsi="Arial"/>
                <w:sz w:val="21"/>
                <w:szCs w:val="21"/>
                <w:color w:val="auto"/>
                <w:vertAlign w:val="superscript"/>
              </w:rPr>
              <w:t>(10)</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427,342</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427,342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Laurie Stelzer </w:t>
            </w:r>
            <w:r>
              <w:rPr>
                <w:rFonts w:ascii="Arial" w:cs="Arial" w:eastAsia="Arial" w:hAnsi="Arial"/>
                <w:sz w:val="21"/>
                <w:szCs w:val="21"/>
                <w:color w:val="auto"/>
                <w:vertAlign w:val="superscript"/>
              </w:rPr>
              <w:t>(11)</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1,814</w:t>
            </w:r>
          </w:p>
        </w:tc>
        <w:tc>
          <w:tcPr>
            <w:tcW w:w="14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1,814</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Arnold Oronsky, Ph.D.</w:t>
            </w:r>
            <w:r>
              <w:rPr>
                <w:rFonts w:ascii="Arial" w:cs="Arial" w:eastAsia="Arial" w:hAnsi="Arial"/>
                <w:sz w:val="21"/>
                <w:szCs w:val="21"/>
                <w:color w:val="auto"/>
                <w:vertAlign w:val="superscript"/>
              </w:rPr>
              <w:t>(1)</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6,414,356</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20.5%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6,414,356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Peter Thompson, M.D.</w:t>
            </w:r>
            <w:r>
              <w:rPr>
                <w:rFonts w:ascii="Arial" w:cs="Arial" w:eastAsia="Arial" w:hAnsi="Arial"/>
                <w:sz w:val="21"/>
                <w:szCs w:val="21"/>
                <w:color w:val="auto"/>
                <w:vertAlign w:val="superscript"/>
              </w:rPr>
              <w:t>(2)</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6,380,423</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20.4%</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6,380,423</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Thilo Schroeder, Ph.D.</w:t>
            </w:r>
            <w:r>
              <w:rPr>
                <w:rFonts w:ascii="Arial" w:cs="Arial" w:eastAsia="Arial" w:hAnsi="Arial"/>
                <w:sz w:val="21"/>
                <w:szCs w:val="21"/>
                <w:color w:val="auto"/>
                <w:vertAlign w:val="superscript"/>
              </w:rPr>
              <w:t>(4)</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2,528,290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8.1%</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2,528,290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74"/>
        </w:trPr>
        <w:tc>
          <w:tcPr>
            <w:tcW w:w="6160" w:type="dxa"/>
            <w:vAlign w:val="bottom"/>
            <w:gridSpan w:val="2"/>
          </w:tcPr>
          <w:p>
            <w:pPr>
              <w:spacing w:after="0"/>
              <w:rPr>
                <w:sz w:val="20"/>
                <w:szCs w:val="20"/>
                <w:color w:val="auto"/>
              </w:rPr>
            </w:pPr>
            <w:r>
              <w:rPr>
                <w:rFonts w:ascii="Arial" w:cs="Arial" w:eastAsia="Arial" w:hAnsi="Arial"/>
                <w:sz w:val="16"/>
                <w:szCs w:val="16"/>
                <w:color w:val="auto"/>
              </w:rPr>
              <w:t>All executive officers and directors as a group (10 persons)</w:t>
            </w:r>
            <w:r>
              <w:rPr>
                <w:rFonts w:ascii="Arial" w:cs="Arial" w:eastAsia="Arial" w:hAnsi="Arial"/>
                <w:sz w:val="27"/>
                <w:szCs w:val="27"/>
                <w:color w:val="auto"/>
                <w:vertAlign w:val="superscript"/>
              </w:rPr>
              <w:t>(12)</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17,784,477</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53.9%</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17,784,477</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-31115</wp:posOffset>
            </wp:positionV>
            <wp:extent cx="7715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660" w:hanging="544"/>
        <w:spacing w:after="0"/>
        <w:tabs>
          <w:tab w:leader="none" w:pos="6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3" w:lineRule="exact"/>
        <w:rPr>
          <w:sz w:val="20"/>
          <w:szCs w:val="20"/>
          <w:color w:val="auto"/>
        </w:rPr>
      </w:pPr>
    </w:p>
    <w:p>
      <w:pPr>
        <w:ind w:left="660" w:right="60" w:hanging="544"/>
        <w:spacing w:after="0" w:line="220" w:lineRule="auto"/>
        <w:tabs>
          <w:tab w:leader="none" w:pos="66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Consists of (i) 1,620,101 shares of common stock issuable upon conversion of Series Seed convertible preferred stock, (ii) 3,488,398 shares of common stock issuable upon conversion of Series A convertible preferred stock, (iii) 1,040,654 shares of common stock issuable upon conversion of Series B convertible preferred stock and (iv) 265,203 shares of common stock issuable upon conversion of Series C convertible preferred stock all held by InterWest Partners X, L.P., or IW10. InterWest Management Partners X, LLC, or IMP10, is the general partner of IW10. Gilbert H. Kliman and Arnold L. Oronsky are the managing directors of IMP10 and Keval Desai and Khaled A. Nasr are venture members of IMP10. Each managing director and venture member of IMP10, including Arnold L. Oronsky, shares voting and investment power with respect to the securities held by IW10. IW10 is affiliated with InterWest Venture Management Company and Arnold L. Oronsky, a member of our board of directors. The address for the InterWest entities is 467 First Street, Suite 201, Los Altos, CA 94022.</w:t>
      </w:r>
    </w:p>
    <w:p>
      <w:pPr>
        <w:spacing w:after="0" w:line="3" w:lineRule="exact"/>
        <w:rPr>
          <w:rFonts w:ascii="Arial" w:cs="Arial" w:eastAsia="Arial" w:hAnsi="Arial"/>
          <w:sz w:val="24"/>
          <w:szCs w:val="24"/>
          <w:color w:val="auto"/>
          <w:vertAlign w:val="superscript"/>
        </w:rPr>
      </w:pPr>
    </w:p>
    <w:p>
      <w:pPr>
        <w:ind w:left="660" w:right="40" w:hanging="544"/>
        <w:spacing w:after="0" w:line="223" w:lineRule="auto"/>
        <w:tabs>
          <w:tab w:leader="none" w:pos="66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Consists of (i) 6,000,291 shares held by OrbiMed Private Investments V, LP, or OPI V, (ii) 114,039 shares held by OrbiMed Genesis Master Fund, L.P., or Genesis Master Fund and (iii) 266,093 shares held by The Biotech Growth Trust PLC, or Biotech Growth Trust. Dr. Peter Thompson is an employee of OrbiMed Advisors LLC, or OrbiMed Advisors, and a member of our board of directors. OrbiMed Capital GP V LLC, or OrbiMed GP V, is the general partner of OPI V and OrbiMed Advisors is the managing member of OrbiMed GP V. OrbiMed Genesis GP LLC, or Genesis GP, is the general partner of Genesis Master Fund and OrbiMed Advisors is the managing member of Genesis GP. By virtue of such relationships, OrbiMed GP V, Genesis GP and OrbiMed Advisors may be deemed to have voting and investment power over the securities held by OPI V, Genesis Master Fund and Biotech Growth Trust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OPI V and Genesis Master Fund. The address of OPI V, Genesis Master Fund and Biotech Growth Trust is c/o OrbiMed Advisors LLC, 601 Lexington Avenue, 54th Floor, New York, NY 10022.</w:t>
      </w:r>
    </w:p>
    <w:p>
      <w:pPr>
        <w:spacing w:after="0" w:line="4" w:lineRule="exact"/>
        <w:rPr>
          <w:rFonts w:ascii="Arial" w:cs="Arial" w:eastAsia="Arial" w:hAnsi="Arial"/>
          <w:sz w:val="24"/>
          <w:szCs w:val="24"/>
          <w:color w:val="auto"/>
          <w:vertAlign w:val="superscript"/>
        </w:rPr>
      </w:pPr>
    </w:p>
    <w:p>
      <w:pPr>
        <w:ind w:left="660" w:right="160" w:hanging="544"/>
        <w:spacing w:after="0"/>
        <w:tabs>
          <w:tab w:leader="none" w:pos="66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Consists of (i) 693,769 shares held of record by Greenland A LLC, (ii) 751,409 shares held of record by Greenland FP LLC, (iii) 132,601 shares held of record by Greenland NFP LLC, and (iv) 2,601,637 shares held of record by Greenland NFP B Ltd., such record holders together, the Greenland Entities. Euclidean Capital LLC, the Manager or Vice President (as the case may be) of the Greenland Entities, may be deemed to have shared voting control and investment discretion over the shares held by the Greenland Entities. The address for Euclidean and the Greenland Entities is c/o Euclidean Capital LLC, 160 Fifth Ave, 9th Fl, New York, NY 10010.</w:t>
      </w:r>
    </w:p>
    <w:p>
      <w:pPr>
        <w:spacing w:after="0" w:line="51" w:lineRule="exact"/>
        <w:rPr>
          <w:rFonts w:ascii="Arial" w:cs="Arial" w:eastAsia="Arial" w:hAnsi="Arial"/>
          <w:sz w:val="24"/>
          <w:szCs w:val="24"/>
          <w:color w:val="auto"/>
          <w:vertAlign w:val="superscript"/>
        </w:rPr>
      </w:pPr>
    </w:p>
    <w:p>
      <w:pPr>
        <w:ind w:left="660" w:right="660" w:hanging="544"/>
        <w:spacing w:after="0" w:line="185" w:lineRule="auto"/>
        <w:tabs>
          <w:tab w:leader="none" w:pos="66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Consists of 2,528,290 shares held by Nextech V Oncology S.C.S., SICAV-SIF. Dr. Thilo Schroeder is a Partner at Nextech Invest AG and in the Investment Committee of Nextech Invest AG, with significant influence over Nextech V</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660" w:right="80"/>
        <w:spacing w:after="0" w:line="244" w:lineRule="auto"/>
        <w:rPr>
          <w:sz w:val="20"/>
          <w:szCs w:val="20"/>
          <w:color w:val="auto"/>
        </w:rPr>
      </w:pPr>
      <w:r>
        <w:rPr>
          <w:rFonts w:ascii="Arial" w:cs="Arial" w:eastAsia="Arial" w:hAnsi="Arial"/>
          <w:sz w:val="14"/>
          <w:szCs w:val="14"/>
          <w:color w:val="auto"/>
        </w:rPr>
        <w:t>Oncology S.C.S., SICAV-SIF in terms of investment decisions, selling strategy of shares and voting power and as a result, may be deemed to have beneficial ownership over such securities. Nextech V GP S.à r.l. is the general partner of Nextech V Oncology S.C.S., SICAV-SIF. Dalia Bleyer, James Pledger and Thomas Lips are Managers of Nextech V GP S.à r.l. and each of Nextech V GP S.à r.l. and Messrs. Dalia Bleyer, James Pledger and Thomas Lips may be deemed to share voting and investment power with respect to the shares reported herein and disclaim beneficial ownership over such shares, except to the extent of their respective pecuniary interest therein, if any. The address of the entities listed herein is 8 rue Lou Hemmer L-1748 Senningerberg, Luxembourg.</w:t>
      </w:r>
    </w:p>
    <w:p>
      <w:pPr>
        <w:spacing w:after="0" w:line="2" w:lineRule="exact"/>
        <w:rPr>
          <w:sz w:val="20"/>
          <w:szCs w:val="20"/>
          <w:color w:val="auto"/>
        </w:rPr>
      </w:pPr>
    </w:p>
    <w:p>
      <w:pPr>
        <w:ind w:left="660" w:right="200" w:hanging="544"/>
        <w:spacing w:after="0" w:line="217" w:lineRule="auto"/>
        <w:tabs>
          <w:tab w:leader="none" w:pos="660" w:val="left"/>
        </w:tabs>
        <w:numPr>
          <w:ilvl w:val="0"/>
          <w:numId w:val="108"/>
        </w:numPr>
        <w:rPr>
          <w:rFonts w:ascii="Arial" w:cs="Arial" w:eastAsia="Arial" w:hAnsi="Arial"/>
          <w:sz w:val="24"/>
          <w:szCs w:val="24"/>
          <w:color w:val="auto"/>
          <w:vertAlign w:val="superscript"/>
        </w:rPr>
      </w:pPr>
      <w:r>
        <w:rPr>
          <w:rFonts w:ascii="Arial" w:cs="Arial" w:eastAsia="Arial" w:hAnsi="Arial"/>
          <w:sz w:val="14"/>
          <w:szCs w:val="14"/>
          <w:color w:val="auto"/>
        </w:rPr>
        <w:t>Consists of 2,086,284 shares held by Viking Global Opportunities Illiquid Investments Sub-Master LP, or Opportunities Fund, which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address of the Opportunities Fund is c/o Viking Global Investors LP, 55 Railroad Avenue, Greenwich, Connecticut 06830.</w:t>
      </w:r>
    </w:p>
    <w:p>
      <w:pPr>
        <w:spacing w:after="0" w:line="2" w:lineRule="exact"/>
        <w:rPr>
          <w:rFonts w:ascii="Arial" w:cs="Arial" w:eastAsia="Arial" w:hAnsi="Arial"/>
          <w:sz w:val="24"/>
          <w:szCs w:val="24"/>
          <w:color w:val="auto"/>
          <w:vertAlign w:val="superscript"/>
        </w:rPr>
      </w:pPr>
    </w:p>
    <w:p>
      <w:pPr>
        <w:ind w:left="660" w:hanging="544"/>
        <w:spacing w:after="0" w:line="195" w:lineRule="auto"/>
        <w:tabs>
          <w:tab w:leader="none" w:pos="660" w:val="left"/>
        </w:tabs>
        <w:numPr>
          <w:ilvl w:val="0"/>
          <w:numId w:val="108"/>
        </w:numPr>
        <w:rPr>
          <w:rFonts w:ascii="Arial" w:cs="Arial" w:eastAsia="Arial" w:hAnsi="Arial"/>
          <w:sz w:val="24"/>
          <w:szCs w:val="24"/>
          <w:color w:val="auto"/>
          <w:vertAlign w:val="superscript"/>
        </w:rPr>
      </w:pPr>
      <w:r>
        <w:rPr>
          <w:rFonts w:ascii="Arial" w:cs="Arial" w:eastAsia="Arial" w:hAnsi="Arial"/>
          <w:sz w:val="14"/>
          <w:szCs w:val="14"/>
          <w:color w:val="auto"/>
        </w:rPr>
        <w:t>Consists of (i) 227,915 shares of common stock held by The Mack-Mulligan Revocable Trust, of which Dr. David Mack is a co-trustee, (ii) 56,978 shares of common stock held by Mack/Mulligan 2020 Irrevocable Descendants’ Trust, of which Dr. Mack is a co-trustee and (iii) 1,161,601 shares of common stock issuable pursuant to options held directly by Dr. Mack, exercisable within 60 days of August 31, 2020.</w:t>
      </w:r>
    </w:p>
    <w:p>
      <w:pPr>
        <w:ind w:left="660" w:hanging="544"/>
        <w:spacing w:after="0" w:line="187" w:lineRule="auto"/>
        <w:tabs>
          <w:tab w:leader="none" w:pos="660" w:val="left"/>
        </w:tabs>
        <w:numPr>
          <w:ilvl w:val="0"/>
          <w:numId w:val="108"/>
        </w:numPr>
        <w:rPr>
          <w:rFonts w:ascii="Arial" w:cs="Arial" w:eastAsia="Arial" w:hAnsi="Arial"/>
          <w:sz w:val="18"/>
          <w:szCs w:val="18"/>
          <w:color w:val="auto"/>
          <w:vertAlign w:val="superscript"/>
        </w:rPr>
      </w:pPr>
      <w:r>
        <w:rPr>
          <w:rFonts w:ascii="Arial" w:cs="Arial" w:eastAsia="Arial" w:hAnsi="Arial"/>
          <w:sz w:val="11"/>
          <w:szCs w:val="11"/>
          <w:color w:val="auto"/>
        </w:rPr>
        <w:t>Consists of 488,801 shares of common stock issuable pursuant to options held directly by Winston Kung, exercisable within 60 days of August 31, 2020.</w:t>
      </w:r>
    </w:p>
    <w:p>
      <w:pPr>
        <w:ind w:left="660" w:hanging="544"/>
        <w:spacing w:after="0" w:line="187" w:lineRule="auto"/>
        <w:tabs>
          <w:tab w:leader="none" w:pos="660" w:val="left"/>
        </w:tabs>
        <w:numPr>
          <w:ilvl w:val="0"/>
          <w:numId w:val="108"/>
        </w:numPr>
        <w:rPr>
          <w:rFonts w:ascii="Arial" w:cs="Arial" w:eastAsia="Arial" w:hAnsi="Arial"/>
          <w:sz w:val="18"/>
          <w:szCs w:val="18"/>
          <w:color w:val="auto"/>
          <w:vertAlign w:val="superscript"/>
        </w:rPr>
      </w:pPr>
      <w:r>
        <w:rPr>
          <w:rFonts w:ascii="Arial" w:cs="Arial" w:eastAsia="Arial" w:hAnsi="Arial"/>
          <w:sz w:val="11"/>
          <w:szCs w:val="11"/>
          <w:color w:val="auto"/>
        </w:rPr>
        <w:t>Consists of 32,564 shares of common stock issuable pursuant to options held directly by Dr. Deepika Jalota, exercisable within 60 days of August 31, 2020.</w:t>
      </w:r>
    </w:p>
    <w:p>
      <w:pPr>
        <w:ind w:left="660" w:hanging="544"/>
        <w:spacing w:after="0" w:line="187" w:lineRule="auto"/>
        <w:tabs>
          <w:tab w:leader="none" w:pos="660" w:val="left"/>
        </w:tabs>
        <w:numPr>
          <w:ilvl w:val="0"/>
          <w:numId w:val="108"/>
        </w:numPr>
        <w:rPr>
          <w:rFonts w:ascii="Arial" w:cs="Arial" w:eastAsia="Arial" w:hAnsi="Arial"/>
          <w:sz w:val="18"/>
          <w:szCs w:val="18"/>
          <w:color w:val="auto"/>
          <w:vertAlign w:val="superscript"/>
        </w:rPr>
      </w:pPr>
      <w:r>
        <w:rPr>
          <w:rFonts w:ascii="Arial" w:cs="Arial" w:eastAsia="Arial" w:hAnsi="Arial"/>
          <w:sz w:val="11"/>
          <w:szCs w:val="11"/>
          <w:color w:val="auto"/>
        </w:rPr>
        <w:t>Consists of 64,393 shares of common stock issuable pursuant to options held directly by Dr. Richard Heyman, exercisable within 60 days of August 31, 2020.</w:t>
      </w:r>
    </w:p>
    <w:p>
      <w:pPr>
        <w:ind w:left="660" w:hanging="544"/>
        <w:spacing w:after="0" w:line="187" w:lineRule="auto"/>
        <w:tabs>
          <w:tab w:leader="none" w:pos="660" w:val="left"/>
        </w:tabs>
        <w:numPr>
          <w:ilvl w:val="0"/>
          <w:numId w:val="108"/>
        </w:numPr>
        <w:rPr>
          <w:rFonts w:ascii="Arial" w:cs="Arial" w:eastAsia="Arial" w:hAnsi="Arial"/>
          <w:sz w:val="18"/>
          <w:szCs w:val="18"/>
          <w:color w:val="auto"/>
          <w:vertAlign w:val="superscript"/>
        </w:rPr>
      </w:pPr>
      <w:r>
        <w:rPr>
          <w:rFonts w:ascii="Arial" w:cs="Arial" w:eastAsia="Arial" w:hAnsi="Arial"/>
          <w:sz w:val="11"/>
          <w:szCs w:val="11"/>
          <w:color w:val="auto"/>
        </w:rPr>
        <w:t>Consists of 427,342 shares of common stock held directly by Dr. Arnold Levine.</w:t>
      </w:r>
    </w:p>
    <w:p>
      <w:pPr>
        <w:ind w:left="660" w:hanging="544"/>
        <w:spacing w:after="0" w:line="187" w:lineRule="auto"/>
        <w:tabs>
          <w:tab w:leader="none" w:pos="660" w:val="left"/>
        </w:tabs>
        <w:numPr>
          <w:ilvl w:val="0"/>
          <w:numId w:val="108"/>
        </w:numPr>
        <w:rPr>
          <w:rFonts w:ascii="Arial" w:cs="Arial" w:eastAsia="Arial" w:hAnsi="Arial"/>
          <w:sz w:val="18"/>
          <w:szCs w:val="18"/>
          <w:color w:val="auto"/>
          <w:vertAlign w:val="superscript"/>
        </w:rPr>
      </w:pPr>
      <w:r>
        <w:rPr>
          <w:rFonts w:ascii="Arial" w:cs="Arial" w:eastAsia="Arial" w:hAnsi="Arial"/>
          <w:sz w:val="11"/>
          <w:szCs w:val="11"/>
          <w:color w:val="auto"/>
        </w:rPr>
        <w:t>Consists of 1,814 shares of common stock issuable pursuant to options held directly by Laurie Stelzer, exercisable within 60 days of August 31, 2020.</w:t>
      </w:r>
    </w:p>
    <w:p>
      <w:pPr>
        <w:ind w:left="660" w:right="460" w:hanging="544"/>
        <w:spacing w:after="0" w:line="185" w:lineRule="auto"/>
        <w:tabs>
          <w:tab w:leader="none" w:pos="660" w:val="left"/>
        </w:tabs>
        <w:numPr>
          <w:ilvl w:val="0"/>
          <w:numId w:val="108"/>
        </w:numPr>
        <w:rPr>
          <w:rFonts w:ascii="Arial" w:cs="Arial" w:eastAsia="Arial" w:hAnsi="Arial"/>
          <w:sz w:val="24"/>
          <w:szCs w:val="24"/>
          <w:color w:val="auto"/>
          <w:vertAlign w:val="superscript"/>
        </w:rPr>
      </w:pPr>
      <w:r>
        <w:rPr>
          <w:rFonts w:ascii="Arial" w:cs="Arial" w:eastAsia="Arial" w:hAnsi="Arial"/>
          <w:sz w:val="14"/>
          <w:szCs w:val="14"/>
          <w:color w:val="auto"/>
        </w:rPr>
        <w:t>Consists of (i) 16,035,304 shares beneficially owned by our current executive officers and directors as of August 31, 2020 and (ii) 1,749,173 shares subject to options, exercisable within 60 days of August 31, 2020, of which 1,518,532 are vested as of such date.</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16"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i w:val="1"/>
          <w:iCs w:val="1"/>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immediately prior to the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w:t>
      </w:r>
    </w:p>
    <w:p>
      <w:pPr>
        <w:spacing w:after="0" w:line="21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Upon the completion of this offering and the filing of our amended and restated certificate of incorporation in connection with this offering, our authorized capital stock will consist of 1,000,000,000 shares of common stock, par value $0.00001 per share, and 5,000,000 shares of preferred stock, par value $0.00001 per share.</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Based on 3,046,200 shares of common stock outstanding as of June 30, 2020, and after giving effect to the conversion of all of our outstanding convertible preferred stock into an aggregate of 28,188,110 shares of common stock, including the shares issuable upon the conversion of our Series D convertible preferred stock issued and sold in July 2020, which will occur immediately prior to the completion of this offering and the issuance of 11,765,000 shares of common stock in this offering, there will be 42,999,310 shares of common stock outstanding upon the completion of this offering. Upon the closing of our Series D convertible preferred stock financing in July 2020, we had 37 stockholders of record.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stockholders will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Upon the completion of this offering, our board of directors will have the authority,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completion of this offering, no shares of preferred stock will be outstanding, and we have no present plan to issue any shares of preferred stock.</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Options</w:t>
      </w:r>
    </w:p>
    <w:p>
      <w:pPr>
        <w:spacing w:after="0" w:line="214"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As of June 30, 2020, we had outstanding options to purchase an aggregate of 3,922,612 shares of our common stock, with a weighted-average exercise price of $2.66 per share, under our 2013 Equity Incentive Plan, or 2013 Plan. After June 30, 2020, we issued options to purchase an aggregate of 149,472 shares of our common stock, with a weighted-average exercise price of $8.53 per share, under our 2013 Plan.</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w:t>
      </w:r>
    </w:p>
    <w:p>
      <w:pPr>
        <w:spacing w:after="0" w:line="214" w:lineRule="exact"/>
        <w:rPr>
          <w:sz w:val="20"/>
          <w:szCs w:val="20"/>
          <w:color w:val="auto"/>
        </w:rPr>
      </w:pPr>
    </w:p>
    <w:p>
      <w:pPr>
        <w:ind w:left="120" w:right="340" w:firstLine="551"/>
        <w:spacing w:after="0" w:line="255" w:lineRule="auto"/>
        <w:rPr>
          <w:sz w:val="20"/>
          <w:szCs w:val="20"/>
          <w:color w:val="auto"/>
        </w:rPr>
      </w:pPr>
      <w:r>
        <w:rPr>
          <w:rFonts w:ascii="Arial" w:cs="Arial" w:eastAsia="Arial" w:hAnsi="Arial"/>
          <w:sz w:val="18"/>
          <w:szCs w:val="18"/>
          <w:color w:val="auto"/>
        </w:rPr>
        <w:t>As of June 30, 2020, we had an outstanding warrant to purchase an aggregate of 10,800 shares of our Series Seed convertible preferred stock at $1.8518 per share. The warrant will be converted into a warrant to purchase an aggregate of 10,800 shares of our common stock, with an exercise price of $1.8518 per share, upon the completion of this offering.</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After the completion of this offering, under our amended and restated investors’ rights agreement, holders of up to 28,198,910 shares of common stock or their transferees, have the right to require us to register the offer and sale of their shares, or to include their shares in any registration statement we file, in each case as described below.</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demand registration rights. At any time beginning after 180 days following the completion of this offering, or the subsequent date on which all market stand-off agreements applicable to this offering have terminated, the holders of at least 30% of the shares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gross proceeds of which, after deducting underwriting discounts and expenses, is at least $5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Form S-3 registration rights. At any time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$5 million. These stockholders may make an unlimited number of requests for registration on a registration statement on Form S-3. However, we will not be required to effect a registration on Form S-3 if we have effected two such registrations within the twelve-month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twelve-month period, for a period of up to 90 days.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“piggyback” registration rights. If we propose to register the offer and sale of shares of our common stock under the Securities Act of 1933, as amended, or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related to any employee benefit plan,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subject to specified limitations.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registration rights terminate upon the earliest of (i) the date that is five years after the completion of this offering,</w:t>
      </w:r>
    </w:p>
    <w:p>
      <w:pPr>
        <w:spacing w:after="0" w:line="18" w:lineRule="exact"/>
        <w:rPr>
          <w:sz w:val="20"/>
          <w:szCs w:val="20"/>
          <w:color w:val="auto"/>
        </w:rPr>
      </w:pPr>
    </w:p>
    <w:p>
      <w:pPr>
        <w:ind w:left="120" w:right="380" w:hanging="4"/>
        <w:spacing w:after="0" w:line="242" w:lineRule="auto"/>
        <w:tabs>
          <w:tab w:leader="none" w:pos="3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immediately prior to the completion of certain liquidation events and (iii) as to a given holder of registration rights, the date after the completion of this offering when such holder of registration rights can sell all of such holder’s registrable securities during any 90-day period pursuant to Rule 144 promulgated under the Securities Act.</w:t>
      </w:r>
    </w:p>
    <w:p>
      <w:pPr>
        <w:spacing w:after="0" w:line="281" w:lineRule="exact"/>
        <w:rPr>
          <w:sz w:val="20"/>
          <w:szCs w:val="20"/>
          <w:color w:val="auto"/>
        </w:rPr>
      </w:pPr>
    </w:p>
    <w:p>
      <w:pPr>
        <w:jc w:val="center"/>
        <w:ind w:left="440" w:right="140"/>
        <w:spacing w:after="0" w:line="287"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2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amended and restated certificate of incorporation will contain provisions that permit our board of directors to issue, without any further vote or action by the stockholders, 5,000,000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0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the initial Class I directors shall terminate on the date of the 2021 annual meeting of stockholders, the term of the initial Class II directors shall terminate on the date of the 2022 annual meeting of stockholders, and the term of the initial Class III directors shall terminate on the date of the 2023 annual meeting of stockholders. At each annual meeting of stockholders beginning in 2021, successors to the class of directors whose term expires at that annual meeting will be elected for a three-year term.</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0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may only remove a director for cause by a vote of no less than a majority of the shares present in person or by proxy at a meeting of stockholders and entitled to vote.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do not have the right to cumulate votes in the election of directors.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0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the chairperson of our board of directors, our Chief Executive Officer, our President or our board of directors acting pursuant to a resolution adopted by a majority of our board of directors.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bylaws will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04"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General Corporation Law of the State of Delaware, or DGCL, except that amendment of certain provisions would require the approval of two-thirds of our then outstanding common stock.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the Nasdaq Stock Market LLC,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04"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Our amended and restated bylaws will provide that, unless we consent to the selection of an alternative forum, the Court of Chancery of the State of Delaware shall be the sole and exclusive forum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 Please also see the section titled “Risk Factors—Our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Liability and Indemnification</w:t>
      </w:r>
    </w:p>
    <w:p>
      <w:pPr>
        <w:spacing w:after="0" w:line="104"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7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directors and officers pursuant to these indemnification provisions. See the section titled “Executive Compensation—Limitation of Liability and Indemnification” for additional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“PMVP.”</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04" w:lineRule="exact"/>
        <w:rPr>
          <w:sz w:val="20"/>
          <w:szCs w:val="20"/>
          <w:color w:val="auto"/>
        </w:rPr>
      </w:pPr>
    </w:p>
    <w:p>
      <w:pPr>
        <w:ind w:left="120" w:right="40" w:firstLine="551"/>
        <w:spacing w:after="0" w:line="306" w:lineRule="auto"/>
        <w:rPr>
          <w:sz w:val="20"/>
          <w:szCs w:val="20"/>
          <w:color w:val="auto"/>
        </w:rPr>
      </w:pPr>
      <w:r>
        <w:rPr>
          <w:rFonts w:ascii="Arial" w:cs="Arial" w:eastAsia="Arial" w:hAnsi="Arial"/>
          <w:sz w:val="17"/>
          <w:szCs w:val="17"/>
          <w:color w:val="auto"/>
        </w:rPr>
        <w:t>The transfer agent and registrar for our common stock is American Stock Transfer &amp; Trust Company, LLC. The transfer agent and registrar’s address is 6201 15th Avenue, Brooklyn, New York 11219. The transfer agent and registrar’s phone number is 800-937-5449.</w:t>
      </w:r>
    </w:p>
    <w:p>
      <w:pPr>
        <w:spacing w:after="0" w:line="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00"/>
          </w:cols>
          <w:pgMar w:left="320" w:top="455" w:right="57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Prior to this offering, there has been no public market for our common stock, and although our common stock has been approved for listing on the Nasdaq Global Select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79"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Upon completion of this offering, based on our shares of common stock outstanding as of June 30, 2020 and after giving effect to the conversion of all of the 22,866,246 shares of our convertible preferred stock outstanding at June 30, 2020 and the conversion of all of our Series D convertible preferred stock issued and sold in July 2020 into 5,321,864 shares of common stock, 42,999,310 shares of our common stock will be outstanding, or 44,764,060 shares of common stock if the underwriters exercise their option to purchase additional shares in full. All of the shares of common stock expected to be sold in this offering will be freely tradable without restriction or further registration under the Securities Act of 1933, as amended, or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80" w:lineRule="exact"/>
        <w:rPr>
          <w:sz w:val="20"/>
          <w:szCs w:val="20"/>
          <w:color w:val="auto"/>
        </w:rPr>
      </w:pPr>
    </w:p>
    <w:p>
      <w:pPr>
        <w:ind w:left="120" w:right="80" w:firstLine="551"/>
        <w:spacing w:after="0" w:line="268"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the shares of our common stock (excluding the shares sold in this offering) that will be deemed “restricted securities” will be available for sale in the public market following the completion of this offering as follows: 31,234,310 shares will be eligible for sale upon expiration of the lock-up agreements and market stand-off provisions described below, beginning more than 180 days after the date of this prospectus.</w:t>
      </w:r>
    </w:p>
    <w:p>
      <w:pPr>
        <w:spacing w:after="0" w:line="153"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214"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Our officers, directors and the holders of substantially all of our capital stock and options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Goldman Sachs &amp; Co. LLC, BofA Securities, Inc., Cowen and Company, LLC and Evercore Group L.L.C. See the section titled “Underwriting” for additional information.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144</w:t>
      </w:r>
    </w:p>
    <w:p>
      <w:pPr>
        <w:spacing w:after="0" w:line="214"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Rule 144, as currently in effect, generally provides that, once we have been subject to the public company reporting requirements of Section 13 or Section 15(d) of the Securities Exchange Act of 1934, or Exchange Act, for at least 90 days, a stockholder who is not deemed to have been one of our affiliates at any time during the preceding three months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79"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three-month period beginning 90 days after the date of this prospectus a number of shares that does not exceed the greater of the following:</w:t>
      </w:r>
    </w:p>
    <w:p>
      <w:pPr>
        <w:spacing w:after="0" w:line="76" w:lineRule="exact"/>
        <w:rPr>
          <w:sz w:val="20"/>
          <w:szCs w:val="20"/>
          <w:color w:val="auto"/>
        </w:rPr>
      </w:pPr>
    </w:p>
    <w:p>
      <w:pPr>
        <w:ind w:left="880" w:hanging="224"/>
        <w:spacing w:after="0" w:line="306" w:lineRule="auto"/>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 of the number of shares of our capital stock then outstanding, which will equal 429,993 shares of common stock immediately after the completion of this offering, assuming no exercise by the underwriters of their option to purchase additional shares; or</w:t>
      </w:r>
    </w:p>
    <w:p>
      <w:pPr>
        <w:spacing w:after="0" w:line="28" w:lineRule="exact"/>
        <w:rPr>
          <w:rFonts w:ascii="Arial" w:cs="Arial" w:eastAsia="Arial" w:hAnsi="Arial"/>
          <w:sz w:val="17"/>
          <w:szCs w:val="17"/>
          <w:color w:val="auto"/>
        </w:rPr>
      </w:pPr>
    </w:p>
    <w:p>
      <w:pPr>
        <w:ind w:left="880" w:right="40" w:hanging="224"/>
        <w:spacing w:after="0" w:line="27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such sale.</w:t>
      </w:r>
    </w:p>
    <w:p>
      <w:pPr>
        <w:spacing w:after="0" w:line="145" w:lineRule="exact"/>
        <w:rPr>
          <w:sz w:val="20"/>
          <w:szCs w:val="20"/>
          <w:color w:val="auto"/>
        </w:rPr>
      </w:pPr>
    </w:p>
    <w:p>
      <w:pPr>
        <w:ind w:left="120" w:firstLine="551"/>
        <w:spacing w:after="0" w:line="306"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701</w:t>
      </w:r>
    </w:p>
    <w:p>
      <w:pPr>
        <w:spacing w:after="0" w:line="21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three months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the lock-up agreement referred to above, if applicable). However, all stockholders who purchased shares of our common stock pursuant to a written compensatory benefit plan or contract are required to wait until 90 days after the date of this prospectus before selling such shares pursuant to Rule 701 (subject to the lock-up agreements and market stand-off agreements referred to above, if applicable).</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S-8 Registration Statement</w:t>
      </w:r>
    </w:p>
    <w:p>
      <w:pPr>
        <w:spacing w:after="0" w:line="214"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5" w:right="49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0940"/>
          </w:cols>
          <w:pgMar w:left="320" w:top="455" w:right="6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MATERIAL U.S. FEDERAL INCOME TAX CONSEQUENCES FOR NON-U.S. HOLDERS OF OUR COMMON STOCK</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U.S. Internal Revenue Code of 1986, as amended, or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This summary assumes that the non-U.S. holder holds our common stock as a capital asset within the meaning of Section 1221 of the Code (generally, property held for investment). This summary also does not address the tax considerations arising under the laws of any U.S. state or local or non-U.S. jurisdiction or under other U.S. federal tax laws, such as gift and estate tax laws. In addition, this discussion does not address tax considerations applicable to an investor’s particular circumstances or to investors that may be subject to special tax rules, including, without limitation:</w:t>
      </w:r>
    </w:p>
    <w:p>
      <w:pPr>
        <w:spacing w:after="0" w:line="78" w:lineRule="exact"/>
        <w:rPr>
          <w:sz w:val="20"/>
          <w:szCs w:val="20"/>
          <w:color w:val="auto"/>
        </w:rPr>
      </w:pPr>
    </w:p>
    <w:p>
      <w:pPr>
        <w:ind w:left="88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(except to the extent specifically set forth below), regulated investment companies, real estate investment trusts or other financial institutions;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surtax on net investment income;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traders in securities or other persons that elect to use a mark-to-market method of accounting for their securities holdings;</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U.S. expatriates or certain former citizens or long-term residents of the United States;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 or integrated investment;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option or otherwise as compensation;</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Section 451(b) of the Code;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80"/>
          </w:cols>
          <w:pgMar w:left="320" w:top="455" w:right="49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tax advisor regarding the tax consequences of the ownership and disposition of our common stock through a partnership or other such entity, as applicable.</w:t>
      </w:r>
    </w:p>
    <w:p>
      <w:pPr>
        <w:spacing w:after="0" w:line="172" w:lineRule="exact"/>
        <w:rPr>
          <w:sz w:val="20"/>
          <w:szCs w:val="20"/>
          <w:color w:val="auto"/>
        </w:rPr>
      </w:pPr>
    </w:p>
    <w:p>
      <w:pPr>
        <w:ind w:left="120" w:right="120" w:firstLine="551"/>
        <w:spacing w:after="0" w:line="251" w:lineRule="auto"/>
        <w:rPr>
          <w:sz w:val="20"/>
          <w:szCs w:val="20"/>
          <w:color w:val="auto"/>
        </w:rPr>
      </w:pPr>
      <w:r>
        <w:rPr>
          <w:rFonts w:ascii="Arial" w:cs="Arial" w:eastAsia="Arial" w:hAnsi="Arial"/>
          <w:sz w:val="18"/>
          <w:szCs w:val="18"/>
          <w:b w:val="1"/>
          <w:bCs w:val="1"/>
          <w:i w:val="1"/>
          <w:i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Non-U.S. Holder Defined</w:t>
      </w:r>
    </w:p>
    <w:p>
      <w:pPr>
        <w:spacing w:after="0" w:line="214"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For purposes of this discussion, a “non-U.S. holder” is a beneficial owner of our common stock that, for U.S. federal income tax purposes, is not a partnership and is not:</w:t>
      </w:r>
    </w:p>
    <w:p>
      <w:pPr>
        <w:spacing w:after="0" w:line="50" w:lineRule="exact"/>
        <w:rPr>
          <w:sz w:val="20"/>
          <w:szCs w:val="20"/>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7" w:lineRule="exact"/>
        <w:rPr>
          <w:rFonts w:ascii="Arial" w:cs="Arial" w:eastAsia="Arial" w:hAnsi="Arial"/>
          <w:sz w:val="18"/>
          <w:szCs w:val="18"/>
          <w:color w:val="auto"/>
        </w:rPr>
      </w:pPr>
    </w:p>
    <w:p>
      <w:pPr>
        <w:jc w:val="both"/>
        <w:ind w:left="880" w:right="40" w:hanging="224"/>
        <w:spacing w:after="0" w:line="255"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Distributions</w:t>
      </w:r>
    </w:p>
    <w:p>
      <w:pPr>
        <w:spacing w:after="0" w:line="214" w:lineRule="exact"/>
        <w:rPr>
          <w:sz w:val="20"/>
          <w:szCs w:val="20"/>
          <w:color w:val="auto"/>
        </w:rPr>
      </w:pPr>
    </w:p>
    <w:p>
      <w:pPr>
        <w:ind w:left="120" w:right="160" w:firstLine="551"/>
        <w:spacing w:after="0" w:line="241" w:lineRule="auto"/>
        <w:rPr>
          <w:sz w:val="20"/>
          <w:szCs w:val="20"/>
          <w:color w:val="auto"/>
        </w:rPr>
      </w:pPr>
      <w:r>
        <w:rPr>
          <w:rFonts w:ascii="Arial" w:cs="Arial" w:eastAsia="Arial" w:hAnsi="Arial"/>
          <w:sz w:val="18"/>
          <w:szCs w:val="18"/>
          <w:color w:val="auto"/>
        </w:rPr>
        <w:t>As described in the section titled “Dividend Policy,” we have not declared or paid cash dividends on our capital stock since our inception, and we do not anticipate paying any cash dividends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Subject to the discussions below on effectively connected income, backup withholding and the Foreign Account Tax Compliance Act, Treasury Regulations issued thereunder and official IRS guidance, collectively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an IRS Form W-8BEN or W-8BEN-E or other appropriate version of IRS Form W-8, including any required attachments,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the non-U.S. holder will</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60"/>
          </w:cols>
          <w:pgMar w:left="320" w:top="455" w:right="51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be required to provide appropriate documentation to the agent, which then will be required to provide certification to us or our paying agent, either directly or through other intermediaries. You should consult your tax advisors regarding your entitlement to benefits under an applicable tax treaty.</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discussions below on backup withholding and FATCA. In order to obtain this exemption, you must provide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any applicable tax treaties that may provide for different rules.</w:t>
      </w: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Gain on Disposition of Common Stock</w:t>
      </w:r>
    </w:p>
    <w:p>
      <w:pPr>
        <w:spacing w:after="0" w:line="21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Subject to the discussion below regarding backup withholding, you generally will not be required to pay U.S. federal income tax on any gain realized upon the sale or other disposition of our common stock unless:</w:t>
      </w:r>
    </w:p>
    <w:p>
      <w:pPr>
        <w:spacing w:after="0" w:line="50" w:lineRule="exact"/>
        <w:rPr>
          <w:sz w:val="20"/>
          <w:szCs w:val="20"/>
          <w:color w:val="auto"/>
        </w:rPr>
      </w:pPr>
    </w:p>
    <w:p>
      <w:pPr>
        <w:ind w:left="880" w:right="700" w:hanging="224"/>
        <w:spacing w:after="0" w:line="276"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calendar year in which the sale or disposition occurs and certain other conditions are met; or</w:t>
      </w:r>
    </w:p>
    <w:p>
      <w:pPr>
        <w:spacing w:after="0" w:line="50" w:lineRule="exact"/>
        <w:rPr>
          <w:rFonts w:ascii="Arial" w:cs="Arial" w:eastAsia="Arial" w:hAnsi="Arial"/>
          <w:sz w:val="18"/>
          <w:szCs w:val="18"/>
          <w:color w:val="auto"/>
        </w:rPr>
      </w:pPr>
    </w:p>
    <w:p>
      <w:pPr>
        <w:jc w:val="both"/>
        <w:ind w:left="880" w:right="360" w:hanging="224"/>
        <w:spacing w:after="0" w:line="255"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6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However, because the determination of whether we are a USRPHC depends on the fair market value of our U.S. real property relative to the fair market value of our U.S. and worldwide real property plus our other business assets, there can be no assurance that we will not become a USRPHC in the future. Even if we become a USRPHC, however, as long as our common stock is regularly traded on an established securities market, your common stock will be treated as United States real property interests only if you actually (directly or indirectly) or constructively held more than five percent of such regularly traded common stock at any time during the shorter of the five-year period preceding your disposition of, or your holding period for, our common stock.</w:t>
      </w:r>
    </w:p>
    <w:p>
      <w:pPr>
        <w:spacing w:after="0" w:line="179"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sale, which gain may be offset by certain U.S. source capital losses, provided you have timely filed U.S. federal income tax returns with respect to such losses. You should consult your tax advisor regarding any applicable income tax or other treaties that may provide for different rules.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14" w:lineRule="exact"/>
        <w:rPr>
          <w:sz w:val="20"/>
          <w:szCs w:val="20"/>
          <w:color w:val="auto"/>
        </w:rPr>
      </w:pPr>
    </w:p>
    <w:p>
      <w:pPr>
        <w:jc w:val="both"/>
        <w:ind w:left="120" w:right="420" w:firstLine="551"/>
        <w:spacing w:after="0" w:line="257"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w:t>
      </w:r>
    </w:p>
    <w:p>
      <w:pPr>
        <w:spacing w:after="0" w:line="2" w:lineRule="exact"/>
        <w:rPr>
          <w:sz w:val="20"/>
          <w:szCs w:val="20"/>
          <w:color w:val="auto"/>
        </w:rPr>
      </w:pPr>
    </w:p>
    <w:p>
      <w:pPr>
        <w:ind w:left="120" w:right="680"/>
        <w:spacing w:after="0" w:line="250" w:lineRule="auto"/>
        <w:rPr>
          <w:sz w:val="20"/>
          <w:szCs w:val="20"/>
          <w:color w:val="auto"/>
        </w:rPr>
      </w:pPr>
      <w:r>
        <w:rPr>
          <w:rFonts w:ascii="Arial" w:cs="Arial" w:eastAsia="Arial" w:hAnsi="Arial"/>
          <w:sz w:val="18"/>
          <w:szCs w:val="18"/>
          <w:color w:val="auto"/>
        </w:rPr>
        <w:t>Notwithstanding the foregoing, backup withholding and information reporting may apply if either we or our paying agent has actual knowledge, or reason to know, that you are a U.S. person.</w:t>
      </w:r>
    </w:p>
    <w:p>
      <w:pPr>
        <w:spacing w:after="0" w:line="168"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backup withholding results in an overpayment of taxes, a refund or credit may generally be obtained from the IRS, provided that the required information is furnished to the IRS in a timely manner.</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Notwithstanding the foregoing, generally, we must report annually to the IRS the amount of distributions paid to you, your name and address and the amount of tax withheld, if any. Pursuant to applicable income tax treaties or other agreements, the IRS may make these reports available to tax authorities in your country of residence.</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FATCA generally imposes a U.S. federal withholding tax of 30% on dividends on, and (subject to the proposed Treasury Regulations discussed below) the gross proceeds from a sale or other disposition of our common stock, paid to a “foreign financial institution” (as specially defined under these rules), unless otherwise provided by the Treasury Secretary or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proposed Treasury Regulations discussed below) the gross proceeds from a sale or other disposition of our common stock paid to a “non-financial foreign entity” (as specially defined under these rules), unless otherwise provided by the Treasury Secretary or such entity provides the withholding agent with a certification identifying the substantial direct and indirect U.S. owners of the entity, certifies that it does not have any substantial U.S. owners, or otherwise establishes an exemption.</w:t>
      </w:r>
    </w:p>
    <w:p>
      <w:pPr>
        <w:spacing w:after="0" w:line="176"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The withholding obligations under FATCA generally apply to dividends on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amounts so withheld. The Treasury Secretary has issued proposed regulations providing that the withholding provisions under FATCA do not apply with respect to payment of gross proceeds from a sale or other disposition of our common stock, which may be relied upon by a taxpayer (including an applicable withholding agent) until final regulations are issued.</w:t>
      </w:r>
    </w:p>
    <w:p>
      <w:pPr>
        <w:spacing w:after="0" w:line="17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An intergovernmental agreement between the United States and an applicable foreign country may modify the requirements described in this section. Prospective investors should consult with their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advisors regarding the application of FATCA withholding to their investment in, and ownership and disposition of, our common stock.</w:t>
      </w:r>
    </w:p>
    <w:p>
      <w:pPr>
        <w:spacing w:after="0" w:line="221" w:lineRule="exact"/>
        <w:rPr>
          <w:sz w:val="20"/>
          <w:szCs w:val="20"/>
          <w:color w:val="auto"/>
        </w:rPr>
      </w:pPr>
    </w:p>
    <w:p>
      <w:pPr>
        <w:jc w:val="both"/>
        <w:ind w:left="120" w:right="140" w:firstLine="551"/>
        <w:spacing w:after="0" w:line="252" w:lineRule="auto"/>
        <w:rPr>
          <w:sz w:val="20"/>
          <w:szCs w:val="20"/>
          <w:color w:val="auto"/>
        </w:rPr>
      </w:pPr>
      <w:r>
        <w:rPr>
          <w:rFonts w:ascii="Arial" w:cs="Arial" w:eastAsia="Arial" w:hAnsi="Arial"/>
          <w:sz w:val="18"/>
          <w:szCs w:val="18"/>
          <w:b w:val="1"/>
          <w:bCs w:val="1"/>
          <w:color w:val="auto"/>
        </w:rPr>
        <w:t>The preceding discussion of U.S. federal income tax consequences is for general information only. It is not tax advice. Each prospective investor should consult his, her or its tax advisor regarding the particular U.S. federal, state and local and non-U.S. tax consequences of purchasing, holding and disposing of our common stock, including the consequences of any proposed change in applicable laws.</w:t>
      </w:r>
    </w:p>
    <w:p>
      <w:pPr>
        <w:spacing w:after="0" w:line="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0920"/>
          </w:cols>
          <w:pgMar w:left="320" w:top="455" w:right="6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BofA Securities, Inc., Cowen and Company, LLC and Evercore Group L.L.C. are the representatives of the underwriters.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972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Number of Shares</w:t>
            </w: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88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9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BofA Securities, Inc.</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Cowen and Company, LLC</w:t>
            </w: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Evercore Group L.L.C.</w:t>
            </w:r>
          </w:p>
        </w:tc>
        <w:tc>
          <w:tcPr>
            <w:tcW w:w="12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11,765,000</w:t>
            </w:r>
          </w:p>
        </w:tc>
      </w:tr>
      <w:tr>
        <w:trPr>
          <w:trHeight w:val="20"/>
        </w:trPr>
        <w:tc>
          <w:tcPr>
            <w:tcW w:w="8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The underwriters have an option to buy up to an additional 1,764,750 shares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1,764,750 additional shares.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7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9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Total</w:t>
            </w:r>
          </w:p>
        </w:tc>
        <w:tc>
          <w:tcPr>
            <w:tcW w:w="476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153"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We estimate that our total out of pocket expenses for this offering, excluding the underwriting discounts and commissions, will be approximately $3.4 million. We have also agreed to reimburse the underwriters certain of their expenses in an amount up to $35,000.</w:t>
      </w:r>
    </w:p>
    <w:p>
      <w:pPr>
        <w:spacing w:after="0" w:line="123"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1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left="120" w:right="140" w:firstLine="551"/>
        <w:spacing w:after="0" w:line="277" w:lineRule="auto"/>
        <w:rPr>
          <w:sz w:val="20"/>
          <w:szCs w:val="20"/>
          <w:color w:val="auto"/>
        </w:rPr>
      </w:pPr>
      <w:r>
        <w:rPr>
          <w:rFonts w:ascii="Arial" w:cs="Arial" w:eastAsia="Arial" w:hAnsi="Arial"/>
          <w:sz w:val="17"/>
          <w:szCs w:val="17"/>
          <w:color w:val="auto"/>
        </w:rPr>
        <w:t>We and our officers, directors and holders of substantially all of our common stock and securities convertible into or exchangeable for our common stock have agreed with the underwriters, subject to certain exceptions, not to dispose of or hedge any of their common stock or securities convertible into or exchangeable for shares of our common stock during the period from the date of this prospectus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continuing through the date 180 days after the date of this prospectus, except with the prior written consent of the representatives. This agreement does not apply to any existing employee benefit plans. See the section titled “Shares Eligible for Future Sale” for a discussion of certain transfer restrictions.</w:t>
      </w:r>
    </w:p>
    <w:p>
      <w:pPr>
        <w:spacing w:after="0" w:line="16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“PMVP.”</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74"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80"/>
          </w:cols>
          <w:pgMar w:left="320" w:top="455" w:right="49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21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or each, a Relevant State, no shares of our common stock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79" w:lineRule="exact"/>
        <w:rPr>
          <w:sz w:val="20"/>
          <w:szCs w:val="20"/>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of our common stock shall require us or any representatives to publish a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3 of the Prospectus Regulation or supplement a prospectus pursuant to Article 23 of the Prospectus Regulation.</w:t>
      </w:r>
    </w:p>
    <w:p>
      <w:pPr>
        <w:spacing w:after="0" w:line="145"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880" w:right="140" w:hanging="224"/>
        <w:spacing w:after="0" w:line="248"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or the FSMA) received by it in connection with the issue or sale of the shares in circumstances in which Section 21(1) of the FSMA does not apply to the company; and</w:t>
      </w:r>
    </w:p>
    <w:p>
      <w:pPr>
        <w:spacing w:after="0" w:line="75"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Canada</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Hong Kong</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Singapore</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5" w:right="47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Japan</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80"/>
          </w:cols>
          <w:pgMar w:left="320" w:top="455" w:right="49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issuance of our common stock offered in this prospectus will be passed upon for us by Wilson Sonsini</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Goodrich &amp; Rosati, Professional Corporation, Palo Alto, California. Certain legal matters relating to the offering will be passed upon for the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underwriters by Latham &amp; Watkins LLP, Menlo Park, California. Certain members of, and investment partnerships comprised of members</w:t>
      </w:r>
    </w:p>
    <w:p>
      <w:pPr>
        <w:ind w:left="120"/>
        <w:spacing w:after="0" w:line="234" w:lineRule="auto"/>
        <w:rPr>
          <w:sz w:val="20"/>
          <w:szCs w:val="20"/>
          <w:color w:val="auto"/>
        </w:rPr>
      </w:pPr>
      <w:r>
        <w:rPr>
          <w:rFonts w:ascii="Arial" w:cs="Arial" w:eastAsia="Arial" w:hAnsi="Arial"/>
          <w:sz w:val="18"/>
          <w:szCs w:val="18"/>
          <w:color w:val="auto"/>
        </w:rPr>
        <w:t>of, and persons associated with, Wilson Sonsini Goodrich &amp; Rosati, Professional Corporation, own an interest representing less than one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 of the shares of our common stock.</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at December 31, 2018 and 2019, and for the years then ended, as set forth in their report. We have included our financial statements in the prospectus and elsewhere in the registration statement in reliance on Ernst &amp; Young LLP’s report, given on their authority as experts in accounting and auditing.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80"/>
          </w:cols>
          <w:pgMar w:left="320" w:top="455" w:right="49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filed with the Securities and Exchange Commission, or SEC, a registration statement on Form S-1 under the Securities Act of 1933, as amended,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of 1934, as amended, and, in accordance with this law, will file periodic reports, proxy statements and other information with the SEC. We also maintain a website at www.pmvpharma.com where these materials will be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5" w:right="49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8"/>
        </w:trPr>
        <w:tc>
          <w:tcPr>
            <w:tcW w:w="1052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9"/>
              </w:rPr>
              <w:t>INDEX TO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520" w:type="dxa"/>
            <w:vAlign w:val="bottom"/>
            <w:gridSpan w:val="5"/>
          </w:tcPr>
          <w:p>
            <w:pPr>
              <w:ind w:left="120"/>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Balance Sheets as of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Statements of Operations and Comprehensive Loss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Statements of Convertible Preferred Stock and Stockholders’ Deficit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Statements of Cash Flows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43"/>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Notes to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26"/>
        </w:trPr>
        <w:tc>
          <w:tcPr>
            <w:tcW w:w="10520" w:type="dxa"/>
            <w:vAlign w:val="bottom"/>
            <w:gridSpan w:val="5"/>
          </w:tcPr>
          <w:p>
            <w:pPr>
              <w:ind w:left="120"/>
              <w:spacing w:after="0"/>
              <w:rPr>
                <w:sz w:val="20"/>
                <w:szCs w:val="20"/>
                <w:color w:val="auto"/>
              </w:rPr>
            </w:pPr>
            <w:r>
              <w:rPr>
                <w:rFonts w:ascii="Arial" w:cs="Arial" w:eastAsia="Arial" w:hAnsi="Arial"/>
                <w:sz w:val="18"/>
                <w:szCs w:val="18"/>
                <w:b w:val="1"/>
                <w:bCs w:val="1"/>
                <w:color w:val="auto"/>
              </w:rPr>
              <w:t>Unaudited Condensed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Condensed Balance Sheets as of December 31, 2019 and June 30, 2020</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Condensed Statements of Operations and Comprehensive Loss for the Six Months Ended June 30, 2019 and 2020</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8"/>
        </w:trPr>
        <w:tc>
          <w:tcPr>
            <w:tcW w:w="10520" w:type="dxa"/>
            <w:vAlign w:val="bottom"/>
            <w:gridSpan w:val="5"/>
          </w:tcPr>
          <w:p>
            <w:pPr>
              <w:ind w:left="480"/>
              <w:spacing w:after="0" w:line="198" w:lineRule="exact"/>
              <w:rPr>
                <w:rFonts w:ascii="Arial" w:cs="Arial" w:eastAsia="Arial" w:hAnsi="Arial"/>
                <w:sz w:val="18"/>
                <w:szCs w:val="18"/>
                <w:color w:val="0000EE"/>
              </w:rPr>
            </w:pPr>
            <w:hyperlink w:anchor="page239">
              <w:r>
                <w:rPr>
                  <w:rFonts w:ascii="Arial" w:cs="Arial" w:eastAsia="Arial" w:hAnsi="Arial"/>
                  <w:sz w:val="18"/>
                  <w:szCs w:val="18"/>
                  <w:color w:val="0000EE"/>
                </w:rPr>
                <w:t>Condensed Statements of Convertible Preferred Stock and Stockholders’ (Deficit) Equity for the Six Months Ended June 30,</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239">
              <w:r>
                <w:rPr>
                  <w:rFonts w:ascii="Arial" w:cs="Arial" w:eastAsia="Arial" w:hAnsi="Arial"/>
                  <w:sz w:val="18"/>
                  <w:szCs w:val="18"/>
                  <w:color w:val="0000EE"/>
                  <w:w w:val="98"/>
                </w:rPr>
                <w:t>2019 and 2020</w:t>
              </w:r>
            </w:hyperlink>
          </w:p>
        </w:tc>
        <w:tc>
          <w:tcPr>
            <w:tcW w:w="846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60" w:type="dxa"/>
            <w:vAlign w:val="bottom"/>
            <w:gridSpan w:val="2"/>
          </w:tcPr>
          <w:p>
            <w:pPr>
              <w:spacing w:after="0"/>
              <w:rPr>
                <w:sz w:val="16"/>
                <w:szCs w:val="16"/>
                <w:color w:val="auto"/>
              </w:rPr>
            </w:pPr>
          </w:p>
        </w:tc>
        <w:tc>
          <w:tcPr>
            <w:tcW w:w="9860" w:type="dxa"/>
            <w:vAlign w:val="bottom"/>
            <w:gridSpan w:val="3"/>
          </w:tcPr>
          <w:p>
            <w:pPr>
              <w:spacing w:after="0" w:line="187" w:lineRule="exact"/>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Condensed Statements of Cash Flows for the Six Months Ended June 30, 2019 and 2020</w:t>
              </w:r>
            </w:hyperlink>
          </w:p>
        </w:tc>
        <w:tc>
          <w:tcPr>
            <w:tcW w:w="540" w:type="dxa"/>
            <w:vAlign w:val="bottom"/>
          </w:tcPr>
          <w:p>
            <w:pPr>
              <w:jc w:val="right"/>
              <w:spacing w:after="0" w:line="187" w:lineRule="exact"/>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243"/>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Notes to Condensed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60" w:type="dxa"/>
            <w:vAlign w:val="bottom"/>
            <w:gridSpan w:val="2"/>
          </w:tcPr>
          <w:p>
            <w:pPr>
              <w:jc w:val="center"/>
              <w:ind w:right="114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55"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PMV Pharmaceuticals, Inc.</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6"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have audited the accompanying balance sheets of PMV Pharmaceuticals, Inc. (the Company) as of December 31, 2018 and 2019, the related statements of operations and comprehensive loss, changes in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06"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26, 2020, except for the reverse stock split described in Note 2, as to which the date is September 21, 2020</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5" w:right="51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31,600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1,018</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1,038</w:t>
            </w:r>
          </w:p>
        </w:tc>
        <w:tc>
          <w:tcPr>
            <w:tcW w:w="4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1,289</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(see Note 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Arial" w:cs="Arial" w:eastAsia="Arial" w:hAnsi="Arial"/>
                <w:sz w:val="18"/>
                <w:szCs w:val="18"/>
                <w:color w:val="auto"/>
              </w:rPr>
              <w:t>Convertible preferred stock, accumulated liquidation value of $107,512 and $169,385 at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180"/>
              <w:spacing w:after="0"/>
              <w:rPr>
                <w:sz w:val="20"/>
                <w:szCs w:val="20"/>
                <w:color w:val="auto"/>
              </w:rPr>
            </w:pPr>
            <w:r>
              <w:rPr>
                <w:rFonts w:ascii="Arial" w:cs="Arial" w:eastAsia="Arial" w:hAnsi="Arial"/>
                <w:sz w:val="18"/>
                <w:szCs w:val="18"/>
                <w:color w:val="auto"/>
              </w:rPr>
              <w:t>December 31, 2018 and 2019, respectively (see Note 7)</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107,228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360"/>
              <w:spacing w:after="0" w:line="180" w:lineRule="exact"/>
              <w:rPr>
                <w:sz w:val="20"/>
                <w:szCs w:val="20"/>
                <w:color w:val="auto"/>
              </w:rPr>
            </w:pPr>
            <w:r>
              <w:rPr>
                <w:rFonts w:ascii="Arial" w:cs="Arial" w:eastAsia="Arial" w:hAnsi="Arial"/>
                <w:sz w:val="18"/>
                <w:szCs w:val="18"/>
                <w:color w:val="auto"/>
              </w:rPr>
              <w:t>Common stock, $0.00001 par value, 24,690,889 and 33,250,829 shares authorized;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540"/>
              <w:spacing w:after="0" w:line="202" w:lineRule="exact"/>
              <w:rPr>
                <w:sz w:val="20"/>
                <w:szCs w:val="20"/>
                <w:color w:val="auto"/>
              </w:rPr>
            </w:pPr>
            <w:r>
              <w:rPr>
                <w:rFonts w:ascii="Arial" w:cs="Arial" w:eastAsia="Arial" w:hAnsi="Arial"/>
                <w:sz w:val="18"/>
                <w:szCs w:val="18"/>
                <w:color w:val="auto"/>
              </w:rPr>
              <w:t>3,012,284 and 3,046,200 shares issued and outstanding at December 31, 2018 and 2019,</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3,961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(50,088)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(75,440)</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836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Statements of Operations and Comprehensive Loss</w:t>
      </w: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1680" w:type="dxa"/>
            <w:vAlign w:val="bottom"/>
            <w:gridSpan w:val="3"/>
          </w:tcPr>
          <w:p>
            <w:pPr>
              <w:jc w:val="right"/>
              <w:ind w:right="7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820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82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661"/>
              <w:spacing w:after="0" w:line="202" w:lineRule="exact"/>
              <w:rPr>
                <w:sz w:val="20"/>
                <w:szCs w:val="20"/>
                <w:color w:val="auto"/>
              </w:rPr>
            </w:pPr>
            <w:r>
              <w:rPr>
                <w:rFonts w:ascii="Arial" w:cs="Arial" w:eastAsia="Arial" w:hAnsi="Arial"/>
                <w:sz w:val="18"/>
                <w:szCs w:val="18"/>
                <w:color w:val="auto"/>
              </w:rPr>
              <w:t>13,853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20,759</w:t>
            </w: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5,039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5,878</w:t>
            </w:r>
          </w:p>
        </w:tc>
      </w:tr>
      <w:tr>
        <w:trPr>
          <w:trHeight w:val="217"/>
        </w:trPr>
        <w:tc>
          <w:tcPr>
            <w:tcW w:w="82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7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120" w:type="dxa"/>
            <w:vAlign w:val="bottom"/>
          </w:tcPr>
          <w:p>
            <w:pPr>
              <w:spacing w:after="0"/>
              <w:rPr>
                <w:sz w:val="18"/>
                <w:szCs w:val="18"/>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1"/>
              <w:spacing w:after="0" w:line="202" w:lineRule="exact"/>
              <w:rPr>
                <w:sz w:val="20"/>
                <w:szCs w:val="20"/>
                <w:color w:val="auto"/>
              </w:rPr>
            </w:pPr>
            <w:r>
              <w:rPr>
                <w:rFonts w:ascii="Arial" w:cs="Arial" w:eastAsia="Arial" w:hAnsi="Arial"/>
                <w:sz w:val="18"/>
                <w:szCs w:val="18"/>
                <w:color w:val="auto"/>
              </w:rPr>
              <w:t>(18,892)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(26,637)</w:t>
            </w:r>
          </w:p>
        </w:tc>
      </w:tr>
      <w:tr>
        <w:trPr>
          <w:trHeight w:val="203"/>
        </w:trPr>
        <w:tc>
          <w:tcPr>
            <w:tcW w:w="820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1,301</w:t>
            </w: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1560" w:type="dxa"/>
            <w:vAlign w:val="bottom"/>
            <w:gridSpan w:val="2"/>
          </w:tcPr>
          <w:p>
            <w:pPr>
              <w:jc w:val="right"/>
              <w:ind w:right="661"/>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r>
      <w:tr>
        <w:trPr>
          <w:trHeight w:val="27"/>
        </w:trPr>
        <w:tc>
          <w:tcPr>
            <w:tcW w:w="8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1,293</w:t>
            </w:r>
          </w:p>
        </w:tc>
      </w:tr>
      <w:tr>
        <w:trPr>
          <w:trHeight w:val="210"/>
        </w:trPr>
        <w:tc>
          <w:tcPr>
            <w:tcW w:w="820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120" w:type="dxa"/>
            <w:vAlign w:val="bottom"/>
          </w:tcPr>
          <w:p>
            <w:pPr>
              <w:spacing w:after="0"/>
              <w:rPr>
                <w:sz w:val="18"/>
                <w:szCs w:val="18"/>
                <w:color w:val="auto"/>
              </w:rPr>
            </w:pPr>
          </w:p>
        </w:tc>
      </w:tr>
      <w:tr>
        <w:trPr>
          <w:trHeight w:val="203"/>
        </w:trPr>
        <w:tc>
          <w:tcPr>
            <w:tcW w:w="8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w:t>
            </w:r>
          </w:p>
        </w:tc>
      </w:tr>
      <w:tr>
        <w:trPr>
          <w:trHeight w:val="209"/>
        </w:trPr>
        <w:tc>
          <w:tcPr>
            <w:tcW w:w="82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(17,538)</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(25,352)</w:t>
            </w:r>
          </w:p>
        </w:tc>
        <w:tc>
          <w:tcPr>
            <w:tcW w:w="120" w:type="dxa"/>
            <w:vAlign w:val="bottom"/>
          </w:tcPr>
          <w:p>
            <w:pPr>
              <w:spacing w:after="0"/>
              <w:rPr>
                <w:sz w:val="18"/>
                <w:szCs w:val="18"/>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gains on marketable securities, net of tax</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w:t>
            </w:r>
          </w:p>
        </w:tc>
      </w:tr>
      <w:tr>
        <w:trPr>
          <w:trHeight w:val="209"/>
        </w:trPr>
        <w:tc>
          <w:tcPr>
            <w:tcW w:w="820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(17,486</w:t>
            </w:r>
          </w:p>
        </w:tc>
        <w:tc>
          <w:tcPr>
            <w:tcW w:w="740" w:type="dxa"/>
            <w:vAlign w:val="bottom"/>
          </w:tcPr>
          <w:p>
            <w:pPr>
              <w:jc w:val="right"/>
              <w:ind w:right="6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2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 per share—basic and diluted</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01"/>
              <w:spacing w:after="0" w:line="196" w:lineRule="exact"/>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(8.35)</w:t>
            </w: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20" w:type="dxa"/>
            <w:vAlign w:val="bottom"/>
          </w:tcPr>
          <w:p>
            <w:pPr>
              <w:spacing w:after="0"/>
              <w:rPr>
                <w:sz w:val="17"/>
                <w:szCs w:val="17"/>
                <w:color w:val="auto"/>
              </w:rPr>
            </w:pPr>
          </w:p>
        </w:tc>
        <w:tc>
          <w:tcPr>
            <w:tcW w:w="1560" w:type="dxa"/>
            <w:vAlign w:val="bottom"/>
            <w:gridSpan w:val="2"/>
          </w:tcPr>
          <w:p>
            <w:pPr>
              <w:jc w:val="right"/>
              <w:ind w:right="661"/>
              <w:spacing w:after="0" w:line="202" w:lineRule="exact"/>
              <w:rPr>
                <w:sz w:val="20"/>
                <w:szCs w:val="20"/>
                <w:color w:val="auto"/>
              </w:rPr>
            </w:pPr>
            <w:r>
              <w:rPr>
                <w:rFonts w:ascii="Arial" w:cs="Arial" w:eastAsia="Arial" w:hAnsi="Arial"/>
                <w:sz w:val="18"/>
                <w:szCs w:val="18"/>
                <w:color w:val="auto"/>
                <w:w w:val="99"/>
              </w:rPr>
              <w:t>3,012,284</w:t>
            </w:r>
          </w:p>
        </w:tc>
        <w:tc>
          <w:tcPr>
            <w:tcW w:w="100" w:type="dxa"/>
            <w:vAlign w:val="bottom"/>
          </w:tcPr>
          <w:p>
            <w:pPr>
              <w:spacing w:after="0"/>
              <w:rPr>
                <w:sz w:val="17"/>
                <w:szCs w:val="17"/>
                <w:color w:val="auto"/>
              </w:rPr>
            </w:pPr>
          </w:p>
        </w:tc>
        <w:tc>
          <w:tcPr>
            <w:tcW w:w="10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3,035,243</w:t>
            </w: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(0.81)</w:t>
            </w:r>
          </w:p>
        </w:tc>
      </w:tr>
      <w:tr>
        <w:trPr>
          <w:trHeight w:val="243"/>
        </w:trPr>
        <w:tc>
          <w:tcPr>
            <w:tcW w:w="8200" w:type="dxa"/>
            <w:vAlign w:val="bottom"/>
          </w:tcPr>
          <w:p>
            <w:pPr>
              <w:ind w:left="360"/>
              <w:spacing w:after="0"/>
              <w:rPr>
                <w:sz w:val="20"/>
                <w:szCs w:val="20"/>
                <w:color w:val="auto"/>
              </w:rPr>
            </w:pPr>
            <w:r>
              <w:rPr>
                <w:rFonts w:ascii="Arial" w:cs="Arial" w:eastAsia="Arial" w:hAnsi="Arial"/>
                <w:sz w:val="18"/>
                <w:szCs w:val="18"/>
                <w:color w:val="auto"/>
              </w:rPr>
              <w:t>Pro forma weighted-average common shares outstanding (unaudited)</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31,223,353</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080"/>
          </w:cols>
          <w:pgMar w:left="320" w:top="455" w:right="499" w:bottom="1440" w:gutter="0" w:footer="0" w:header="0"/>
        </w:sectPr>
      </w:pP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9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2360" w:type="dxa"/>
            <w:vAlign w:val="bottom"/>
          </w:tcPr>
          <w:p>
            <w:pPr>
              <w:spacing w:after="0"/>
              <w:rPr>
                <w:sz w:val="15"/>
                <w:szCs w:val="15"/>
                <w:color w:val="auto"/>
              </w:rPr>
            </w:pPr>
          </w:p>
        </w:tc>
        <w:tc>
          <w:tcPr>
            <w:tcW w:w="19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10"/>
        </w:trPr>
        <w:tc>
          <w:tcPr>
            <w:tcW w:w="2360" w:type="dxa"/>
            <w:vAlign w:val="bottom"/>
            <w:vMerge w:val="restart"/>
          </w:tcPr>
          <w:p>
            <w:pPr>
              <w:spacing w:after="0"/>
              <w:rPr>
                <w:sz w:val="20"/>
                <w:szCs w:val="20"/>
                <w:color w:val="auto"/>
              </w:rPr>
            </w:pPr>
            <w:r>
              <w:rPr>
                <w:rFonts w:ascii="Arial" w:cs="Arial" w:eastAsia="Arial" w:hAnsi="Arial"/>
                <w:sz w:val="18"/>
                <w:szCs w:val="18"/>
                <w:color w:val="auto"/>
              </w:rPr>
              <w:t>Balances at December 31,</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2017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17,396,640</w:t>
            </w:r>
          </w:p>
        </w:tc>
        <w:tc>
          <w:tcPr>
            <w:tcW w:w="1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expense</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360" w:type="dxa"/>
            <w:vAlign w:val="bottom"/>
          </w:tcPr>
          <w:p>
            <w:pPr>
              <w:spacing w:after="0" w:line="187" w:lineRule="exact"/>
              <w:rPr>
                <w:sz w:val="20"/>
                <w:szCs w:val="20"/>
                <w:color w:val="auto"/>
              </w:rPr>
            </w:pPr>
            <w:r>
              <w:rPr>
                <w:rFonts w:ascii="Arial" w:cs="Arial" w:eastAsia="Arial" w:hAnsi="Arial"/>
                <w:sz w:val="18"/>
                <w:szCs w:val="18"/>
                <w:color w:val="auto"/>
              </w:rPr>
              <w:t>Balances at December 31,</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2018</w:t>
            </w:r>
          </w:p>
        </w:tc>
        <w:tc>
          <w:tcPr>
            <w:tcW w:w="960" w:type="dxa"/>
            <w:vAlign w:val="bottom"/>
          </w:tcPr>
          <w:p>
            <w:pPr>
              <w:jc w:val="right"/>
              <w:spacing w:after="0"/>
              <w:rPr>
                <w:sz w:val="20"/>
                <w:szCs w:val="20"/>
                <w:color w:val="auto"/>
              </w:rPr>
            </w:pPr>
            <w:r>
              <w:rPr>
                <w:rFonts w:ascii="Arial" w:cs="Arial" w:eastAsia="Arial" w:hAnsi="Arial"/>
                <w:sz w:val="18"/>
                <w:szCs w:val="18"/>
                <w:color w:val="auto"/>
              </w:rPr>
              <w:t>17,396,640</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187"/>
        </w:trPr>
        <w:tc>
          <w:tcPr>
            <w:tcW w:w="2360" w:type="dxa"/>
            <w:vAlign w:val="bottom"/>
          </w:tcPr>
          <w:p>
            <w:pPr>
              <w:spacing w:after="0" w:line="187" w:lineRule="exact"/>
              <w:rPr>
                <w:sz w:val="20"/>
                <w:szCs w:val="20"/>
                <w:color w:val="auto"/>
              </w:rPr>
            </w:pPr>
            <w:r>
              <w:rPr>
                <w:rFonts w:ascii="Arial" w:cs="Arial" w:eastAsia="Arial" w:hAnsi="Arial"/>
                <w:sz w:val="18"/>
                <w:szCs w:val="18"/>
                <w:color w:val="auto"/>
              </w:rPr>
              <w:t>Issuance of Series C</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stock, net of issuance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costs of $168</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5,469,606</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61,705</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Exercise of stock options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expense</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360" w:type="dxa"/>
            <w:vAlign w:val="bottom"/>
          </w:tcPr>
          <w:p>
            <w:pPr>
              <w:spacing w:after="0" w:line="187" w:lineRule="exact"/>
              <w:rPr>
                <w:sz w:val="20"/>
                <w:szCs w:val="20"/>
                <w:color w:val="auto"/>
              </w:rPr>
            </w:pPr>
            <w:r>
              <w:rPr>
                <w:rFonts w:ascii="Arial" w:cs="Arial" w:eastAsia="Arial" w:hAnsi="Arial"/>
                <w:sz w:val="18"/>
                <w:szCs w:val="18"/>
                <w:color w:val="auto"/>
              </w:rPr>
              <w:t>Balances at December 31,</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2019</w:t>
            </w:r>
          </w:p>
        </w:tc>
        <w:tc>
          <w:tcPr>
            <w:tcW w:w="960" w:type="dxa"/>
            <w:vAlign w:val="bottom"/>
          </w:tcPr>
          <w:p>
            <w:pPr>
              <w:jc w:val="right"/>
              <w:spacing w:after="0"/>
              <w:rPr>
                <w:sz w:val="20"/>
                <w:szCs w:val="20"/>
                <w:color w:val="auto"/>
              </w:rPr>
            </w:pPr>
            <w:r>
              <w:rPr>
                <w:rFonts w:ascii="Arial" w:cs="Arial" w:eastAsia="Arial" w:hAnsi="Arial"/>
                <w:sz w:val="18"/>
                <w:szCs w:val="18"/>
                <w:color w:val="auto"/>
              </w:rPr>
              <w:t>22,866,246</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140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9"/>
                <w:szCs w:val="9"/>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80" w:type="dxa"/>
            <w:vAlign w:val="bottom"/>
          </w:tcPr>
          <w:p>
            <w:pPr>
              <w:jc w:val="right"/>
              <w:spacing w:after="0"/>
              <w:rPr>
                <w:sz w:val="20"/>
                <w:szCs w:val="20"/>
                <w:color w:val="auto"/>
              </w:rPr>
            </w:pPr>
            <w:r>
              <w:rPr>
                <w:rFonts w:ascii="Arial" w:cs="Arial" w:eastAsia="Arial" w:hAnsi="Arial"/>
                <w:sz w:val="18"/>
                <w:szCs w:val="18"/>
                <w:color w:val="auto"/>
              </w:rPr>
              <w:t>3,012,284</w:t>
            </w:r>
          </w:p>
        </w:tc>
        <w:tc>
          <w:tcPr>
            <w:tcW w:w="5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(32,550)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(29,733)</w:t>
            </w:r>
          </w:p>
        </w:tc>
        <w:tc>
          <w:tcPr>
            <w:tcW w:w="0" w:type="dxa"/>
            <w:vAlign w:val="bottom"/>
          </w:tcPr>
          <w:p>
            <w:pPr>
              <w:spacing w:after="0"/>
              <w:rPr>
                <w:sz w:val="1"/>
                <w:szCs w:val="1"/>
                <w:color w:val="auto"/>
              </w:rPr>
            </w:pPr>
          </w:p>
        </w:tc>
      </w:tr>
      <w:tr>
        <w:trPr>
          <w:trHeight w:val="365"/>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(17,538)</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(17,538)</w:t>
            </w:r>
          </w:p>
        </w:tc>
        <w:tc>
          <w:tcPr>
            <w:tcW w:w="0" w:type="dxa"/>
            <w:vAlign w:val="bottom"/>
          </w:tcPr>
          <w:p>
            <w:pPr>
              <w:spacing w:after="0"/>
              <w:rPr>
                <w:sz w:val="1"/>
                <w:szCs w:val="1"/>
                <w:color w:val="auto"/>
              </w:rPr>
            </w:pPr>
          </w:p>
        </w:tc>
      </w:tr>
      <w:tr>
        <w:trPr>
          <w:trHeight w:val="590"/>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3,012,284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(50,088)</w:t>
            </w: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 w:type="dxa"/>
            <w:vAlign w:val="bottom"/>
          </w:tcPr>
          <w:p>
            <w:pPr>
              <w:jc w:val="right"/>
              <w:spacing w:after="0"/>
              <w:rPr>
                <w:sz w:val="20"/>
                <w:szCs w:val="20"/>
                <w:color w:val="auto"/>
              </w:rPr>
            </w:pPr>
            <w:r>
              <w:rPr>
                <w:rFonts w:ascii="Arial" w:cs="Arial" w:eastAsia="Arial" w:hAnsi="Arial"/>
                <w:sz w:val="18"/>
                <w:szCs w:val="18"/>
                <w:color w:val="auto"/>
              </w:rPr>
              <w:t>33,916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(25,352)</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590"/>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3,046,200</w:t>
            </w:r>
          </w:p>
        </w:tc>
        <w:tc>
          <w:tcPr>
            <w:tcW w:w="5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4,969</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(75,440)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-3445510</wp:posOffset>
            </wp:positionV>
            <wp:extent cx="6995160" cy="3454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3454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460"/>
            <w:col w:w="6220"/>
          </w:cols>
          <w:pgMar w:left="320" w:top="455" w:right="499" w:bottom="1440" w:gutter="0" w:footer="0" w:header="0"/>
          <w:type w:val="continuous"/>
        </w:sectPr>
      </w:pP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5" w:right="499" w:bottom="1440" w:gutter="0" w:footer="0" w:header="0"/>
          <w:type w:val="continuous"/>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(17,538)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1,079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premiums on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(15,178)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property and equipment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(452)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Purchase of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(48,678)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(43,452)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70,823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46,792</w:t>
            </w:r>
          </w:p>
        </w:tc>
        <w:tc>
          <w:tcPr>
            <w:tcW w:w="0" w:type="dxa"/>
            <w:vAlign w:val="bottom"/>
          </w:tcPr>
          <w:p>
            <w:pPr>
              <w:spacing w:after="0"/>
              <w:rPr>
                <w:sz w:val="1"/>
                <w:szCs w:val="1"/>
                <w:color w:val="auto"/>
              </w:rPr>
            </w:pP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issuance of convertible preferred stock</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61,873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equity issuance costs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9"/>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61,805</w:t>
            </w:r>
          </w:p>
        </w:tc>
        <w:tc>
          <w:tcPr>
            <w:tcW w:w="0" w:type="dxa"/>
            <w:vAlign w:val="bottom"/>
          </w:tcPr>
          <w:p>
            <w:pPr>
              <w:spacing w:after="0"/>
              <w:rPr>
                <w:sz w:val="1"/>
                <w:szCs w:val="1"/>
                <w:color w:val="auto"/>
              </w:rPr>
            </w:pPr>
          </w:p>
        </w:tc>
      </w:tr>
      <w:tr>
        <w:trPr>
          <w:trHeight w:val="210"/>
        </w:trPr>
        <w:tc>
          <w:tcPr>
            <w:tcW w:w="8360" w:type="dxa"/>
            <w:vAlign w:val="bottom"/>
          </w:tcPr>
          <w:p>
            <w:pPr>
              <w:ind w:left="108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Cash and cash equivalents—beginning of period</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equivalents—end of period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paid for income tax</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Formation and Business of the Company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70"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 Company has incurred net losses and negative cash flows from operations. During the year ended December 31, 2019, the Company incurred a net loss of $25,352 and used $22,065 of cash for operations. At December 31, 2019, the Company had accumulated deficit of $75,440. Cash, cash equivalents and short-term marketable securities at December 31, 2019 were $101,486.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87" w:lineRule="exact"/>
        <w:rPr>
          <w:sz w:val="20"/>
          <w:szCs w:val="20"/>
          <w:color w:val="auto"/>
        </w:rPr>
      </w:pPr>
    </w:p>
    <w:p>
      <w:pPr>
        <w:ind w:left="660" w:right="6980" w:hanging="544"/>
        <w:spacing w:after="0" w:line="360" w:lineRule="auto"/>
        <w:tabs>
          <w:tab w:leader="none" w:pos="309"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ind w:left="120" w:right="180" w:firstLine="551"/>
        <w:spacing w:after="0" w:line="260"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 The accompanying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In September 2020, the Company’s Board of Directors and stockholders approved an amendment to the Company’s amended and restated certificate of incorporation to effect a 5.2651-for-1 reverse stock split of the Company’s common stock and convertible preferred stock,</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5" w:right="49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which was effected on September 18, 2020. The par value of the common stock and convertible preferred stock were not adjusted as a result of the reverse stock split. Accordingly, all common stock, convertible preferred stock, stock options, and related per share amounts in these audited annual and unaudited interm financial statements have been retroactively adjusted for all periods presented to give effect to the reverse stock split.</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0" w:right="300" w:firstLine="551"/>
        <w:spacing w:after="0" w:line="24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the fair values of common stock, convertible preferred stock and stock-based compensation. Actual results could differ materially from those estimates.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left="120" w:right="500" w:firstLine="551"/>
        <w:spacing w:after="0" w:line="243"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9" w:lineRule="exact"/>
        <w:rPr>
          <w:sz w:val="20"/>
          <w:szCs w:val="20"/>
          <w:color w:val="auto"/>
        </w:rPr>
      </w:pPr>
    </w:p>
    <w:p>
      <w:pPr>
        <w:ind w:left="880" w:right="10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1 - Inputs that reflect unadjusted quoted prices in active markets for identical assets or liabilities that the Company has the ability to access at the measurement date.</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observable for the asset or liability either directly or indirectly, including inputs in markets that are not considered to be active.</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3 - Inputs are unobservable in which there is little or no market data available, which require the reporting entity to develop its own assumptions that are unobservable.</w:t>
      </w:r>
    </w:p>
    <w:p>
      <w:pPr>
        <w:spacing w:after="0" w:line="14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Company’s marketable debt securities have been classified and accounted for as available-for-sale. The Company classifies its marketable debt securities as either short-term or long-</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which is recorded in Interest income, net. For the years ending December 31, 2018 and 2019, the Company recorded $319 and $62 of amortization, respectively.</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Property and equipment are recorded at cost net of accumulated depreciation. Property and equipment are depreciated using the straight-line method over the estimated useful lives of the assets, generally five years, except for leasehold improvements, which are amortized over the remaining term of the lease.</w:t>
      </w:r>
    </w:p>
    <w:p>
      <w:pPr>
        <w:spacing w:after="0" w:line="164"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Long-lived assets, which are comprised of property and equipment to be held and used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 To date, the Company has not recorded any impairment losses on long-lived assets.</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0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The Company recorded $52 and $10 in other comprehensive income related to unrealized gains on marketable securities, net of tax for the years ended December 31, 2018 and 2019, respectively. The Company presents comprehensive income in a single statement within its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jc w:val="both"/>
        <w:ind w:left="120" w:right="300" w:firstLine="551"/>
        <w:spacing w:after="0" w:line="277"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5" w:right="49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allocable portions of facility costs, such as rent, utilities, insurance, repairs and maintenance, depreciation, and general support services. Costs for certain research and development activities are recognized based on the terms of the individual arrangements, which may differ from the pattern of costs incurred, and are reflected in the financial statements as a prepaid expenses or as accrued research and development expenses. All costs associated with research and development are expensed as incurred.</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The Company’s convertible preferred stock is classified outside of stockholders’ deficit because the shares contain deemed liquidation rights that are a contingent redemption feature not solely within the control of the Company. The Company’s policy is not to accrete the carrying value and related issuance costs of the convertible preferred stock to its redemption value until it is probable that the security will become redeemable.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may issue certain financial instruments with embedded features which may be accounted for as separate derivative assets or liabilities, dependent on their specific contractual terms or other conditions. These derivative assets or liabilities are required to be measured at fair value at issuance and remeasured at the end of each reporting period. To determine the fair value of these instruments the Company uses a discounted cash flow analysis, as these instruments are not quoted on an active market. Increases or decreases in fair value from initial measurement and each reporting period are recorded in the statement of operations and comprehensive loss as change in fair value of derivative liabilities.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Company’s share-based compensation program allows for grants of stock options and restricted stock awards. Grants are awarded to employees and non-employees, including directors.</w:t>
      </w:r>
    </w:p>
    <w:p>
      <w:pPr>
        <w:spacing w:after="0" w:line="14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The Company accounts for stock-based employee compensation arrangements in accordance with provisions of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w:t>
      </w:r>
      <w:r>
        <w:rPr>
          <w:rFonts w:ascii="Arial" w:cs="Arial" w:eastAsia="Arial" w:hAnsi="Arial"/>
          <w:sz w:val="18"/>
          <w:szCs w:val="18"/>
          <w:i w:val="1"/>
          <w:iCs w:val="1"/>
          <w:color w:val="auto"/>
        </w:rPr>
        <w:t xml:space="preserve">. </w:t>
      </w:r>
      <w:r>
        <w:rPr>
          <w:rFonts w:ascii="Arial" w:cs="Arial" w:eastAsia="Arial" w:hAnsi="Arial"/>
          <w:sz w:val="18"/>
          <w:szCs w:val="18"/>
          <w:color w:val="auto"/>
        </w:rPr>
        <w:t>ASC 718 requires the recognition of compensation expense, using a fair-value based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is used to determine the fair value of restricted stock awards and stock options.</w:t>
      </w:r>
    </w:p>
    <w:p>
      <w:pPr>
        <w:spacing w:after="0" w:line="180"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The Company’s stock-based compensation awards are subject to either service or performance-based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5" w:right="5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800"/>
        <w:spacing w:after="0" w:line="276" w:lineRule="auto"/>
        <w:rPr>
          <w:sz w:val="20"/>
          <w:szCs w:val="20"/>
          <w:color w:val="auto"/>
        </w:rPr>
      </w:pPr>
      <w:r>
        <w:rPr>
          <w:rFonts w:ascii="Arial" w:cs="Arial" w:eastAsia="Arial" w:hAnsi="Arial"/>
          <w:sz w:val="18"/>
          <w:szCs w:val="18"/>
          <w:color w:val="auto"/>
        </w:rPr>
        <w:t>recognized based on grant date fair value over the requisite service period using the accelerated attribution method to the extent achievement of the of performance condition is probable.</w:t>
      </w:r>
    </w:p>
    <w:p>
      <w:pPr>
        <w:spacing w:after="0" w:line="14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76"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Non-employee option awards are measured at the earlier of the commitment date for performance by the counterparty or the date when performance is complete, and compensation expense is recognized in the same manner as if we had paid cash for goods or services.</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convertible preferred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Operating Decision Maker to make decisions with respect to resource allocation and assessment of performance. To date, the Company has viewed its operations and manages its business as one operating segment.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0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Basic net loss per share is computed using the “two-class” method which includes the weighted average number of shares of common stock outstanding during the period and other securities that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participate in dividends (a participating security). The Company’s convertible preferred stock are participating securities as defined by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During the periods where the Company incurs net losses, the Company allocates no loss to participating securities because these securities have no contractual obligation to share in the losses of the Company. Under the two-class method, basic net loss per share applicable to common stockholders is computed by dividing the net loss applicable to common stockholders by the weighted average number of common shares outstanding for the period. Diluted net loss per share is computed similar to basic net loss per share except that the denominator is increased to include the number of additional shares for the potential dilutive effects of a warrant, convertible preferred stock and stock options outstanding during the period calculated in accordance with the treasury stock method, or the two-class method, whichever is more dilutive. The Company allocates net earnings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(equal) basis to both common and preferred stockholders. Net losses are not allocated to preferred stockholders as they do not have an obligation to share in the Company’s net losses. For all periods presented, basic and diluted net loss per share are the same, as any additional share equivalents would be anti-dilutive.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 shares of common stock as if such conversion had occurred at January 1, 2019, or the date of original issuance, if later.</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2018 and 2019, the Company has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8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accounting policy, the Company recognizes accrued interest and penalties related to unrecognized tax benefits as a component of income tax.</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requiring lessees to recognize operating and financing lease liabilities on the balance sheet, as well as corresponding right-of-use assets. The new lease standard also makes some changes to lessor accounting and aligns key aspects of the lessor accounting model with the revenue recognition standard. In addition, disclosures will be required to enable users of financial statements to assess the amount, timing, and uncertainty of cash flows arising from leases. In June 2020, the FASB also issued ASU 2020-05, </w:t>
      </w:r>
      <w:r>
        <w:rPr>
          <w:rFonts w:ascii="Arial" w:cs="Arial" w:eastAsia="Arial" w:hAnsi="Arial"/>
          <w:sz w:val="18"/>
          <w:szCs w:val="18"/>
          <w:i w:val="1"/>
          <w:iCs w:val="1"/>
          <w:color w:val="auto"/>
        </w:rPr>
        <w:t>Revenue from Contracts with Customers (Topic 606) and Leases (Topic 842):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Dates for Certain Entities, </w:t>
      </w:r>
      <w:r>
        <w:rPr>
          <w:rFonts w:ascii="Arial" w:cs="Arial" w:eastAsia="Arial" w:hAnsi="Arial"/>
          <w:sz w:val="18"/>
          <w:szCs w:val="18"/>
          <w:color w:val="auto"/>
        </w:rPr>
        <w:t>which requires nonpublic entities to adopt the provisions of ASU 2016-02 for fiscal years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2021, and for interim periods within fiscal years beginning after December 15, 2022.</w:t>
      </w:r>
    </w:p>
    <w:p>
      <w:pPr>
        <w:spacing w:after="0" w:line="179"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expects to qualify as an emerging growth company (“EGC”) upon issuance of its initial public offering. Qualifying as an EGC allows the Company to employ extended transition provisions by using nonpublic business entity adoption dates for new or revised accounting standards, so long as the issuer maintains its status as an EGC. The Company expects to retain its status as an EGC through December 31, 2022, and therefore expects to adopt ASU 2016-02 for the annual period ended December 31, 2022, with the provisions of the new standard reflected in quarterly periods thereafter. The Company is currently evaluating the impact of this accounting standard update on its financial statements.</w:t>
      </w:r>
    </w:p>
    <w:p>
      <w:pPr>
        <w:spacing w:after="0" w:line="174" w:lineRule="exact"/>
        <w:rPr>
          <w:sz w:val="20"/>
          <w:szCs w:val="20"/>
          <w:color w:val="auto"/>
        </w:rPr>
      </w:pPr>
    </w:p>
    <w:p>
      <w:pPr>
        <w:jc w:val="both"/>
        <w:ind w:left="120" w:right="620" w:firstLine="551"/>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related to the classification of certain cash receipts and cash payments on the Statement of Cash Flows. The Company adopted the accounting standard effective January 1, 2019. There was no material impact on the financial statements.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I. Accounting for Certain Financial Instrument with Down Round Features II.</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Part I of the ASU simplifies the accounting for certain equity-linked financial instruments and embedded features with down round features that reduce the exercise price when the pricing of a future round of financing is lower (down round protection). Current accounting guidance provides that instruments with down round protection be classified as derivative liabilities with changes in fair value recorded through earnings. The updated guidance provides that instruments with down round protection are no longer precluded from being classified as equity. This guidance is effective for fiscal years beginning after December 15, 2018 and early adoption is permitted. This guidance must be applied retrospectively. The Company adopted this guidance on January 1, 2019 and the adoption did not have a material impact on its financial statements.</w:t>
      </w:r>
    </w:p>
    <w:p>
      <w:pPr>
        <w:spacing w:after="0" w:line="176"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or services. Consequently, the accounting for share-based payments to nonemployees and</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5" w:right="49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employees will be substantially aligned. The ASU supersedes Subtopic 505-50, Equity—Equity-Based Payments to Non-Employees. The pronouncement is effective for the Company in the annual period beginning after December 15, 2019, and early adoption is permitted. The Company will adopt this guidance on January 1, 2020. The Company is currently evaluating the impact of adopting this standard on its financial statements.</w:t>
      </w:r>
    </w:p>
    <w:p>
      <w:pPr>
        <w:spacing w:after="0" w:line="17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standard modifies disclosure requirements related to fair value measurement and is effective for all entities for fiscal years beginning after December 15, 2019. Early adoption is permitted. Implementation on a prospective or retrospective basis varies by specific disclosure requirement. The standard also allows for early adoption of any removed or modified disclosures upon issuance while delaying adoption of the additional disclosures until their effective date. The Company is currently evaluating the impact of adopting this standard on its financial statements.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are held in a checking account held at one financial institution. At times, such deposits may be in excess of insured limits. The Company has not experienced any losses on its deposits of cash and cash equivalents. The Company’s marketable debt securities are carried at fair value with unrealized gains and losses. Any investments with unrealized losses are considered to be temporarily impaired.</w:t>
      </w:r>
    </w:p>
    <w:p>
      <w:pPr>
        <w:spacing w:after="0" w:line="172"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strategic relationships and dependence on key individuals.</w:t>
      </w:r>
    </w:p>
    <w:p>
      <w:pPr>
        <w:spacing w:after="0" w:line="170"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Products developed by the Company require clearances from the Food and Drug Administration or other international regulatory agencies prior to commercial sales. There can be no assurance the Company’s future products will receive the necessary clearances. If the Company was denied clearance, clearance was delayed or it was unable to maintain clearance, it could have a materially adverse impact on the Company.</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2018 and 2019:</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1,680</w:t>
            </w:r>
          </w:p>
        </w:tc>
        <w:tc>
          <w:tcPr>
            <w:tcW w:w="28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1,680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1,680</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5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97,819</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97,816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97,816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99,499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$ 99,496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6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12"/>
        </w:trPr>
        <w:tc>
          <w:tcPr>
            <w:tcW w:w="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82</w:t>
            </w: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82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w:t>
            </w:r>
          </w:p>
        </w:tc>
        <w:tc>
          <w:tcPr>
            <w:tcW w:w="186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3,977</w:t>
            </w: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3,977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3,977</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900" w:type="dxa"/>
            <w:vAlign w:val="bottom"/>
            <w:gridSpan w:val="2"/>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56,734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56,721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2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60,793</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$ 60,780</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4,059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b w:val="1"/>
          <w:bCs w:val="1"/>
          <w:color w:val="auto"/>
        </w:rPr>
        <w:t>—</w:t>
      </w:r>
      <w:r>
        <w:rPr>
          <w:rFonts w:ascii="Arial" w:cs="Arial" w:eastAsia="Arial" w:hAnsi="Arial"/>
          <w:sz w:val="18"/>
          <w:szCs w:val="18"/>
          <w:color w:val="auto"/>
        </w:rPr>
        <w:t>Cash equivalents of $29.2 million as of December 31, 2018 consisted of money market funds of</w:t>
      </w:r>
    </w:p>
    <w:p>
      <w:pPr>
        <w:spacing w:after="0" w:line="20" w:lineRule="exact"/>
        <w:rPr>
          <w:sz w:val="20"/>
          <w:szCs w:val="20"/>
          <w:color w:val="auto"/>
        </w:rPr>
      </w:pPr>
    </w:p>
    <w:p>
      <w:pPr>
        <w:ind w:left="660" w:right="40"/>
        <w:spacing w:after="0" w:line="239" w:lineRule="auto"/>
        <w:rPr>
          <w:sz w:val="20"/>
          <w:szCs w:val="20"/>
          <w:color w:val="auto"/>
        </w:rPr>
      </w:pPr>
      <w:r>
        <w:rPr>
          <w:rFonts w:ascii="Arial" w:cs="Arial" w:eastAsia="Arial" w:hAnsi="Arial"/>
          <w:sz w:val="18"/>
          <w:szCs w:val="18"/>
          <w:color w:val="auto"/>
        </w:rPr>
        <w:t>$0.1 million, and corporate debt securities of $29.1 million. Cash equivalents of $71.3 million as of December 31, 2019 consisted of money market funds of $1.7 million, and corporate debt securities of $69.6 million.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66" w:lineRule="exact"/>
        <w:rPr>
          <w:sz w:val="20"/>
          <w:szCs w:val="20"/>
          <w:color w:val="auto"/>
        </w:rPr>
      </w:pPr>
    </w:p>
    <w:p>
      <w:pPr>
        <w:ind w:left="660" w:right="20" w:firstLine="523"/>
        <w:spacing w:after="0" w:line="256"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b w:val="1"/>
          <w:bCs w:val="1"/>
          <w:color w:val="auto"/>
        </w:rPr>
        <w:t>—</w:t>
      </w:r>
      <w:r>
        <w:rPr>
          <w:rFonts w:ascii="Arial" w:cs="Arial" w:eastAsia="Arial" w:hAnsi="Arial"/>
          <w:sz w:val="18"/>
          <w:szCs w:val="18"/>
          <w:color w:val="auto"/>
        </w:rPr>
        <w:t>Marketable securities of $31.6 million and $28.2 million as of December 31, 2018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consisted of corporate debt securities classified within level 2 of the fair value hierarchy because they are valued using inputs other than quoted prices that are observable for the asset or liability either directly or indirectly.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280" w:type="dxa"/>
            <w:vAlign w:val="bottom"/>
          </w:tcPr>
          <w:p>
            <w:pPr>
              <w:spacing w:after="0"/>
              <w:rPr>
                <w:sz w:val="12"/>
                <w:szCs w:val="12"/>
                <w:color w:val="auto"/>
              </w:rPr>
            </w:pPr>
          </w:p>
        </w:tc>
        <w:tc>
          <w:tcPr>
            <w:tcW w:w="13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Machinery &amp; equipment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1,789</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Computers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&amp; fixtures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r>
      <w:tr>
        <w:trPr>
          <w:trHeight w:val="202"/>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1,873</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1,982</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(855)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(1,243)</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1,018</w:t>
            </w:r>
          </w:p>
        </w:tc>
        <w:tc>
          <w:tcPr>
            <w:tcW w:w="5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r>
      <w:tr>
        <w:trPr>
          <w:trHeight w:val="20"/>
        </w:trPr>
        <w:tc>
          <w:tcPr>
            <w:tcW w:w="8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for the years ended December 31, 2018 and 2019 was $338 and $388, respectively.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Expense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bonuses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893</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1,281</w:t>
            </w:r>
          </w:p>
        </w:tc>
        <w:tc>
          <w:tcPr>
            <w:tcW w:w="6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279</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367</w:t>
            </w: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117</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60" w:type="dxa"/>
            <w:vAlign w:val="bottom"/>
          </w:tcPr>
          <w:p>
            <w:pPr>
              <w:spacing w:after="0"/>
              <w:rPr>
                <w:sz w:val="18"/>
                <w:szCs w:val="18"/>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Commitments and Contingencies</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In April 2017, the Company amended an existing operating lease for 18,446 square feet of office and laboratory space in Cranbury, New Jersey, that expires in June 2022. In August 2018, the Company signed an operating lease for 6,297 square feet of additional office and laboratory space in Cranbury, New Jersey, which expires in July 2022. In September 2018, the Company signed an operating lease for 3,292 square feet of additional office and laboratory space in Bedford, Massachusetts, which expires in August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lease payments under these leases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48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251</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Total future minimum lease payments</w:t>
            </w:r>
          </w:p>
        </w:tc>
        <w:tc>
          <w:tcPr>
            <w:tcW w:w="60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1,213</w:t>
            </w:r>
          </w:p>
        </w:tc>
        <w:tc>
          <w:tcPr>
            <w:tcW w:w="6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1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180" w:type="dxa"/>
            <w:vAlign w:val="bottom"/>
            <w:gridSpan w:val="2"/>
          </w:tcPr>
          <w:p>
            <w:pPr>
              <w:jc w:val="right"/>
              <w:ind w:right="4730"/>
              <w:spacing w:after="0"/>
              <w:rPr>
                <w:sz w:val="20"/>
                <w:szCs w:val="20"/>
                <w:color w:val="auto"/>
              </w:rPr>
            </w:pPr>
            <w:r>
              <w:rPr>
                <w:rFonts w:ascii="Arial" w:cs="Arial" w:eastAsia="Arial" w:hAnsi="Arial"/>
                <w:sz w:val="18"/>
                <w:szCs w:val="18"/>
                <w:color w:val="auto"/>
              </w:rPr>
              <w:t>F-16</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recorded during the years ended December 31, 2018 and 2019 was $479 and $580,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there were no purchase commitments with third-party suppliers.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Contingencies</w:t>
      </w:r>
    </w:p>
    <w:p>
      <w:pPr>
        <w:spacing w:after="0" w:line="104"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Convertible Preferred Stock</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is authorized to issue up to 22,883,426 shares of convertible preferred stock with a par value of $0.00001 per share. 1,657,903 shares have been designated as Series Seed convertible preferred stock (Series Seed Preferred), 8,076,985 shares have been designated as Series A convertible preferred stock (Series A Preferred), 7,672,560 shares have been designated as Series B convertible preferred stock (Series B Preferred) and 5,475,978 shares have been designated as Series C convertible preferred stock (Series C Preferred). At December 31, 2019, the Company had an aggregate of 22,866,246 shares of Series Seed Preferred, Series A Preferred, Series B Preferred and Series C Preferred (collectively, “Preferred Stock”) issued and outstanding.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Preferred Stock consisted of the following (in thousands except for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428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Liquidation</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 Upon</w:t>
            </w:r>
          </w:p>
        </w:tc>
      </w:tr>
      <w:tr>
        <w:trPr>
          <w:trHeight w:val="177"/>
        </w:trPr>
        <w:tc>
          <w:tcPr>
            <w:tcW w:w="428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Value</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Seed Preferred</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1,657,903</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A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8,076,985</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8,076,982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30,593</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30,734</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8,076,982</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w:t>
            </w: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7,672,560</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7,672,556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73,627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73,728</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7,672,556</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C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5,475,978</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5,469,606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61,705</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61,873</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5,469,606</w:t>
            </w:r>
          </w:p>
        </w:tc>
      </w:tr>
      <w:tr>
        <w:trPr>
          <w:trHeight w:val="27"/>
        </w:trPr>
        <w:tc>
          <w:tcPr>
            <w:tcW w:w="4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22,883,426</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22,866,246</w:t>
            </w:r>
          </w:p>
        </w:tc>
        <w:tc>
          <w:tcPr>
            <w:tcW w:w="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168,933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169,385</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22,866,246</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660" w:right="100" w:firstLine="523"/>
        <w:spacing w:after="0" w:line="248"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December 31,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660" w:firstLine="523"/>
        <w:spacing w:after="0" w:line="276"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160"/>
        <w:spacing w:after="0" w:line="248" w:lineRule="auto"/>
        <w:rPr>
          <w:sz w:val="20"/>
          <w:szCs w:val="20"/>
          <w:color w:val="auto"/>
        </w:rPr>
      </w:pPr>
      <w:r>
        <w:rPr>
          <w:rFonts w:ascii="Arial" w:cs="Arial" w:eastAsia="Arial" w:hAnsi="Arial"/>
          <w:sz w:val="18"/>
          <w:szCs w:val="18"/>
          <w:color w:val="auto"/>
        </w:rPr>
        <w:t>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ind w:left="660" w:firstLine="523"/>
        <w:spacing w:after="0"/>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$1.8517 for Series Seed Preferred, $3.7266 for Series A Preferred, $9.6093 for Series B Preferred and $11.3121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72" w:lineRule="exact"/>
        <w:rPr>
          <w:sz w:val="20"/>
          <w:szCs w:val="20"/>
          <w:color w:val="auto"/>
        </w:rPr>
      </w:pPr>
    </w:p>
    <w:p>
      <w:pPr>
        <w:ind w:left="660" w:firstLine="523"/>
        <w:spacing w:after="0" w:line="241"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left="660" w:right="80" w:firstLine="523"/>
        <w:spacing w:after="0" w:line="241"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w:t>
      </w:r>
    </w:p>
    <w:p>
      <w:pPr>
        <w:spacing w:after="0" w:line="1" w:lineRule="exact"/>
        <w:rPr>
          <w:sz w:val="20"/>
          <w:szCs w:val="20"/>
          <w:color w:val="auto"/>
        </w:rPr>
      </w:pPr>
    </w:p>
    <w:p>
      <w:pPr>
        <w:ind w:left="660" w:right="20" w:firstLine="7"/>
        <w:spacing w:after="0"/>
        <w:tabs>
          <w:tab w:leader="none" w:pos="91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closing of a public offering, in which the gross cash proceeds are at least $40,000 and the initial offering price to the public is at least $11.3121 per share (as adjusted for any stock splits, stock dividends, combinations, subdivisions, recapitalizations, reorganizations, reclassifications or the like). At December 31, 2019, the conversion price for each share of Series Seed Preferred, Series A Preferred, Series B Preferred and Series C Preferred is $1.8517, $3.7266, $9.6093 and $11.3121, respectively.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660" w:right="220" w:firstLine="523"/>
        <w:spacing w:after="0" w:line="276" w:lineRule="auto"/>
        <w:rPr>
          <w:sz w:val="20"/>
          <w:szCs w:val="20"/>
          <w:color w:val="auto"/>
        </w:rPr>
      </w:pPr>
      <w:r>
        <w:rPr>
          <w:rFonts w:ascii="Arial" w:cs="Arial" w:eastAsia="Arial" w:hAnsi="Arial"/>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Protective Provisions: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holders of preferred stock have certain protective provisions.</w:t>
      </w:r>
    </w:p>
    <w:p>
      <w:pPr>
        <w:spacing w:after="0" w:line="104" w:lineRule="exact"/>
        <w:rPr>
          <w:sz w:val="20"/>
          <w:szCs w:val="20"/>
          <w:color w:val="auto"/>
        </w:rPr>
      </w:pPr>
    </w:p>
    <w:p>
      <w:pPr>
        <w:ind w:left="660" w:firstLine="523"/>
        <w:spacing w:after="0" w:line="243" w:lineRule="auto"/>
        <w:rPr>
          <w:sz w:val="20"/>
          <w:szCs w:val="20"/>
          <w:color w:val="auto"/>
        </w:rPr>
      </w:pPr>
      <w:r>
        <w:rPr>
          <w:rFonts w:ascii="Arial" w:cs="Arial" w:eastAsia="Arial" w:hAnsi="Arial"/>
          <w:sz w:val="18"/>
          <w:szCs w:val="18"/>
          <w:color w:val="auto"/>
        </w:rPr>
        <w:t>As long as at least twenty percent (20%) of the shares of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Preferred Stock, or take certain other actions that would alter the rights, preferences, and privileges of Preferred Stock or effect liquidation, dissolution or winding up of the Company.</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A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A Preferred without first obtaining approval of a majority of the outstanding shares of Series A Preferred.</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B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B Preferred without first obtaining approval of a majority of the outstanding shares of Series B Preferred.</w:t>
      </w:r>
    </w:p>
    <w:p>
      <w:pPr>
        <w:spacing w:after="0" w:line="66" w:lineRule="exact"/>
        <w:rPr>
          <w:sz w:val="20"/>
          <w:szCs w:val="20"/>
          <w:color w:val="auto"/>
        </w:rPr>
      </w:pPr>
    </w:p>
    <w:p>
      <w:pPr>
        <w:ind w:left="660" w:right="60" w:firstLine="523"/>
        <w:spacing w:after="0" w:line="241" w:lineRule="auto"/>
        <w:rPr>
          <w:sz w:val="20"/>
          <w:szCs w:val="20"/>
          <w:color w:val="auto"/>
        </w:rPr>
      </w:pPr>
      <w:r>
        <w:rPr>
          <w:rFonts w:ascii="Arial" w:cs="Arial" w:eastAsia="Arial" w:hAnsi="Arial"/>
          <w:sz w:val="18"/>
          <w:szCs w:val="18"/>
          <w:color w:val="auto"/>
        </w:rPr>
        <w:t>As long as at least twenty percent (20%) of the shares of Series C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C Preferred or effect liquidation, dissolution or winding up of the Company, unless each share of Series C Preferred receives at least the original issue price of $11.3121 in any such transaction, without first obtaining approval of a majority of the outstanding shares of Series C Preferred.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 Common Stock</w:t>
      </w:r>
    </w:p>
    <w:p>
      <w:pPr>
        <w:spacing w:after="0" w:line="104" w:lineRule="exact"/>
        <w:rPr>
          <w:sz w:val="20"/>
          <w:szCs w:val="20"/>
          <w:color w:val="auto"/>
        </w:rPr>
      </w:pPr>
    </w:p>
    <w:p>
      <w:pPr>
        <w:ind w:left="120" w:right="780" w:firstLine="551"/>
        <w:spacing w:after="0" w:line="276" w:lineRule="auto"/>
        <w:rPr>
          <w:sz w:val="20"/>
          <w:szCs w:val="20"/>
          <w:color w:val="auto"/>
        </w:rPr>
      </w:pPr>
      <w:r>
        <w:rPr>
          <w:rFonts w:ascii="Arial" w:cs="Arial" w:eastAsia="Arial" w:hAnsi="Arial"/>
          <w:sz w:val="18"/>
          <w:szCs w:val="18"/>
          <w:color w:val="auto"/>
        </w:rPr>
        <w:t>The Company is authorized to issue up to 33,250,829 shares of common stock with a par value of $0.00001 per share. At December 31, 2018 and 2019, there were 3,012,284 and 3,046,200 shares issued and outstanding, respectively.</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5" w:right="47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December 31, 2019, no dividends on common stock had been declared by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2019, the Company had reserved shares of common stock for issuance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4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outstanding</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17,396,640</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2,685,615</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2,767,868</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issued and outstanding</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697,042</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1,530,523</w:t>
            </w:r>
          </w:p>
        </w:tc>
      </w:tr>
      <w:tr>
        <w:trPr>
          <w:trHeight w:val="27"/>
        </w:trPr>
        <w:tc>
          <w:tcPr>
            <w:tcW w:w="84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20,790,097</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27,175,437</w:t>
            </w:r>
          </w:p>
        </w:tc>
      </w:tr>
      <w:tr>
        <w:trPr>
          <w:trHeight w:val="20"/>
        </w:trPr>
        <w:tc>
          <w:tcPr>
            <w:tcW w:w="8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Stock Plan</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2013, the Company adopted the 2013 Stock Plan (the “Plan”). As of December 31, 2019, there were 4,437,507 shares of common stock authorized and 1,530,523 shares available for issuance under the Plan. Under the Plan, the Company may issue shares of common stock and options to purchase common stock to employees and consultants. Options granted under the Plan may be Incentive Stock Options or Non-statutory Stock Options, as determined by the Administrator at the time of grant. Stock Purchase Rights may also be granted under the Plan. The term shall be no more than ten years from the date of grant thereof. In the case of an Incentive Stock Option granted to an optionee who, at the time the option is granted, owns stock representing more than 10% of the voting power of all classes of stock of the Company or any Parent or Subsidiary, the term of the option shall be five years from the date of grant or such shorter term as may be provided in the option Agreement.</w:t>
      </w:r>
    </w:p>
    <w:p>
      <w:pPr>
        <w:spacing w:after="0" w:line="180"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In the case of an Incentive Stock Option, (i) granted to an employee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employee, the per share exercise price shall be no less than 100% of the Fair Market Value per Share on the date of grant. In the case of a Non-statutory Stock Option; (i) granted to a Service Provider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service provider, the per share exercise price shall be no less than 100% of the Fair Market Value per Share on the date of grant. Notwithstanding the foregoing, options may be granted with a per share exercise price other than as required above pursuant to a merger or other corporate transaction.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options may include provisions permitting exercise of the option prior to full vesting. Any unvested shares so purchased shall be subject to repurchase by the Company at the original exercise price of the option.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Available</w:t>
            </w:r>
          </w:p>
        </w:tc>
        <w:tc>
          <w:tcPr>
            <w:tcW w:w="13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88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for Grant</w:t>
            </w:r>
          </w:p>
        </w:tc>
        <w:tc>
          <w:tcPr>
            <w:tcW w:w="13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December 31, 2017</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1,224,846</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2,157,811</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(800,643)</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800,643</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3.21</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272,839</w:t>
            </w:r>
          </w:p>
        </w:tc>
        <w:tc>
          <w:tcPr>
            <w:tcW w:w="13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(272,839)</w:t>
            </w: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3.21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20"/>
                <w:szCs w:val="20"/>
                <w:color w:val="auto"/>
              </w:rPr>
            </w:pPr>
            <w:r>
              <w:rPr>
                <w:rFonts w:ascii="Arial" w:cs="Arial" w:eastAsia="Arial" w:hAnsi="Arial"/>
                <w:sz w:val="18"/>
                <w:szCs w:val="18"/>
                <w:b w:val="1"/>
                <w:bCs w:val="1"/>
                <w:color w:val="auto"/>
              </w:rPr>
              <w:t>Balances, December 31,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697,042</w:t>
            </w:r>
          </w:p>
        </w:tc>
        <w:tc>
          <w:tcPr>
            <w:tcW w:w="5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2,685,615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949,650</w:t>
            </w:r>
          </w:p>
        </w:tc>
        <w:tc>
          <w:tcPr>
            <w:tcW w:w="13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(249,758)</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249,758</w:t>
            </w:r>
          </w:p>
        </w:tc>
        <w:tc>
          <w:tcPr>
            <w:tcW w:w="460" w:type="dxa"/>
            <w:vAlign w:val="bottom"/>
          </w:tcPr>
          <w:p>
            <w:pPr>
              <w:spacing w:after="0"/>
              <w:rPr>
                <w:sz w:val="17"/>
                <w:szCs w:val="17"/>
                <w:color w:val="auto"/>
              </w:rPr>
            </w:pP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3.53</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133,589</w:t>
            </w:r>
          </w:p>
        </w:tc>
        <w:tc>
          <w:tcPr>
            <w:tcW w:w="13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(133,589)</w:t>
            </w: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2.95</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(33,916)</w:t>
            </w: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3.00</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December 31, 2019</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1,530,523</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2,767,868</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2.05</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7.08</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1,877,381</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1.68</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6.59</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360"/>
              <w:spacing w:after="0"/>
              <w:rPr>
                <w:sz w:val="20"/>
                <w:szCs w:val="20"/>
                <w:color w:val="auto"/>
              </w:rPr>
            </w:pPr>
            <w:r>
              <w:rPr>
                <w:rFonts w:ascii="Arial" w:cs="Arial" w:eastAsia="Arial" w:hAnsi="Arial"/>
                <w:sz w:val="18"/>
                <w:szCs w:val="18"/>
                <w:color w:val="auto"/>
              </w:rPr>
              <w:t>Exercisable</w:t>
            </w: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1.79</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2,186,065</w:t>
            </w:r>
          </w:p>
        </w:tc>
        <w:tc>
          <w:tcPr>
            <w:tcW w:w="2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00" w:firstLine="551"/>
        <w:spacing w:after="0" w:line="255" w:lineRule="auto"/>
        <w:rPr>
          <w:sz w:val="20"/>
          <w:szCs w:val="20"/>
          <w:color w:val="auto"/>
        </w:rPr>
      </w:pPr>
      <w:r>
        <w:rPr>
          <w:rFonts w:ascii="Arial" w:cs="Arial" w:eastAsia="Arial" w:hAnsi="Arial"/>
          <w:sz w:val="18"/>
          <w:szCs w:val="18"/>
          <w:color w:val="auto"/>
        </w:rPr>
        <w:t>The aggregate intrinsic value of options vested and exercisable as of December 31, 2019 is calculated based on the difference between the exercise price and the current fair value of our common stock. The intrinsic value of options exercised in 2019 was $20. There were no stock option exercises in 2018.</w:t>
      </w:r>
    </w:p>
    <w:p>
      <w:pPr>
        <w:spacing w:after="0" w:line="16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At December 31, 2019, the total compensation cost related to nonvested service-based awards not yet recognized is $1,481. The weighted-average period over which the nonvested awards is expected to be recognized is 1.9 years.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Employees</w:t>
      </w:r>
    </w:p>
    <w:p>
      <w:pPr>
        <w:spacing w:after="0" w:line="10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Employee options generally vest over four years. Stock-based compensation expense recognized during the years ended December 31, 2018 and 2019 for stock-based awards granted to employees based on the grant date fair value estimated in accordance with the provisions of ASC 718 was $847 and $854, respectively. The unrecognized compensation cost as of December 31, 2019 is expected to be recognized over a weighted-average amortization period of 2.0 years.</w:t>
      </w:r>
    </w:p>
    <w:p>
      <w:pPr>
        <w:spacing w:after="0" w:line="170" w:lineRule="exact"/>
        <w:rPr>
          <w:sz w:val="20"/>
          <w:szCs w:val="20"/>
          <w:color w:val="auto"/>
        </w:rPr>
      </w:pPr>
    </w:p>
    <w:p>
      <w:pPr>
        <w:ind w:left="120" w:right="840" w:firstLine="551"/>
        <w:spacing w:after="0" w:line="276" w:lineRule="auto"/>
        <w:rPr>
          <w:sz w:val="20"/>
          <w:szCs w:val="20"/>
          <w:color w:val="auto"/>
        </w:rPr>
      </w:pPr>
      <w:r>
        <w:rPr>
          <w:rFonts w:ascii="Arial" w:cs="Arial" w:eastAsia="Arial" w:hAnsi="Arial"/>
          <w:sz w:val="18"/>
          <w:szCs w:val="18"/>
          <w:color w:val="auto"/>
        </w:rPr>
        <w:t>The Company estimated the fair value of stock options using the Black-Scholes options valuation model. The fair value of employee stock options is being amortized on a straight-line basis over the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requisite service period of the awards. The fair value of employee stock options was estimated using the following assumptions: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040" w:type="dxa"/>
            <w:vAlign w:val="bottom"/>
          </w:tcPr>
          <w:p>
            <w:pPr>
              <w:spacing w:after="0"/>
              <w:rPr>
                <w:sz w:val="15"/>
                <w:szCs w:val="15"/>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r>
      <w:tr>
        <w:trPr>
          <w:trHeight w:val="155"/>
        </w:trPr>
        <w:tc>
          <w:tcPr>
            <w:tcW w:w="704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grant date fair value of common stock</w:t>
            </w:r>
          </w:p>
        </w:tc>
        <w:tc>
          <w:tcPr>
            <w:tcW w:w="1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$3.21</w:t>
            </w:r>
          </w:p>
        </w:tc>
        <w:tc>
          <w:tcPr>
            <w:tcW w:w="2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rPr>
              <w:t>$3.53</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2.68% – 2.83%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 2.51%</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6.37</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7"/>
                <w:szCs w:val="17"/>
                <w:color w:val="auto"/>
              </w:rPr>
            </w:pP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1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63.74% – 81.20%</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72.69%</w:t>
            </w:r>
          </w:p>
        </w:tc>
      </w:tr>
    </w:tbl>
    <w:p>
      <w:pPr>
        <w:spacing w:after="0" w:line="85" w:lineRule="exact"/>
        <w:rPr>
          <w:sz w:val="20"/>
          <w:szCs w:val="20"/>
          <w:color w:val="auto"/>
        </w:rPr>
      </w:pPr>
    </w:p>
    <w:p>
      <w:pPr>
        <w:jc w:val="both"/>
        <w:ind w:left="660" w:right="660" w:firstLine="523"/>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uses the simplified method to calculate expected term described in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Commission’s Staff Accounting Bulletin No. 107, which takes into account vesting term and expiration date of the options.</w:t>
      </w:r>
    </w:p>
    <w:p>
      <w:pPr>
        <w:spacing w:after="0" w:line="56" w:lineRule="exact"/>
        <w:rPr>
          <w:sz w:val="20"/>
          <w:szCs w:val="20"/>
          <w:color w:val="auto"/>
        </w:rPr>
      </w:pPr>
    </w:p>
    <w:p>
      <w:pPr>
        <w:ind w:left="660" w:right="640" w:firstLine="523"/>
        <w:spacing w:after="0" w:line="276"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based on an average of the historical volatilities of comparable publicly traded companies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37" w:lineRule="exact"/>
        <w:rPr>
          <w:sz w:val="20"/>
          <w:szCs w:val="20"/>
          <w:color w:val="auto"/>
        </w:rPr>
      </w:pPr>
    </w:p>
    <w:p>
      <w:pPr>
        <w:ind w:left="660" w:right="560" w:firstLine="523"/>
        <w:spacing w:after="0" w:line="276"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rate is based on the U.S. Treasury yields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37" w:lineRule="exact"/>
        <w:rPr>
          <w:sz w:val="20"/>
          <w:szCs w:val="20"/>
          <w:color w:val="auto"/>
        </w:rPr>
      </w:pPr>
    </w:p>
    <w:p>
      <w:pPr>
        <w:ind w:left="660" w:right="60" w:firstLine="52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Company has never declared or paid any cash dividends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used an expected dividend yield of zero in the valuation model.</w:t>
      </w:r>
    </w:p>
    <w:p>
      <w:pPr>
        <w:spacing w:after="0" w:line="14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During the year ended December 31, 2018, the Company granted 119,012 stock options at a grant-date fair value of $2.58 per share to an executive that vests only upon the attainment of certain liquidity events. The Company does not believe that it is probable that the performance condition will be satisfied and did not record any stock compensation expense in the years ended December 31, 2018 and 2019 for this option grant. The unrecognized compensation cost associated with this award was $305, a portion of which will be cumulatively caught-up upon achievement of the liquidity event.</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Non-Employees</w:t>
      </w:r>
    </w:p>
    <w:p>
      <w:pPr>
        <w:spacing w:after="0" w:line="104" w:lineRule="exact"/>
        <w:rPr>
          <w:sz w:val="20"/>
          <w:szCs w:val="20"/>
          <w:color w:val="auto"/>
        </w:rPr>
      </w:pPr>
    </w:p>
    <w:p>
      <w:pPr>
        <w:jc w:val="both"/>
        <w:ind w:left="120" w:right="480" w:firstLine="551"/>
        <w:spacing w:after="0" w:line="255" w:lineRule="auto"/>
        <w:rPr>
          <w:sz w:val="20"/>
          <w:szCs w:val="20"/>
          <w:color w:val="auto"/>
        </w:rPr>
      </w:pPr>
      <w:r>
        <w:rPr>
          <w:rFonts w:ascii="Arial" w:cs="Arial" w:eastAsia="Arial" w:hAnsi="Arial"/>
          <w:sz w:val="18"/>
          <w:szCs w:val="18"/>
          <w:color w:val="auto"/>
        </w:rPr>
        <w:t>Stock-based compensation expense related to stock options granted to non-employees is recognized as the stock options are earned. The Company believes that the estimated fair value of the stock options is more readily measurable than the fair value of the services. There were no stock options granted to non-employees during the years ended December 31, 2018 and 2019.</w:t>
      </w:r>
    </w:p>
    <w:p>
      <w:pPr>
        <w:spacing w:after="0" w:line="16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Non-employee options generally vest over two to three years. Stock-based compensation expense is remeasured every reporting period as the options vest in accordance with the provisions of ASC 505-50. Stock compensation expense recognized during the years ended December 31, 2018 and 2019 for stock-based awards granted to non-employees was $232 and $54, respectively.</w:t>
      </w:r>
    </w:p>
    <w:p>
      <w:pPr>
        <w:spacing w:after="0" w:line="16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No income tax benefits have been recognized relating to stock-based compensation expenses and no tax benefits have been realized from exercised stock options.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Stock-Based Compensation</w:t>
      </w:r>
    </w:p>
    <w:p>
      <w:pPr>
        <w:spacing w:after="0" w:line="10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Total stock-based compensation expense recorded under ASC 718 and ASC 505-50 related to options granted to employees and nonemployees was allocated to research and development and general and administrative expense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240" w:type="dxa"/>
            <w:vAlign w:val="bottom"/>
          </w:tcPr>
          <w:p>
            <w:pPr>
              <w:spacing w:after="0"/>
              <w:rPr>
                <w:sz w:val="12"/>
                <w:szCs w:val="12"/>
                <w:color w:val="auto"/>
              </w:rPr>
            </w:pPr>
          </w:p>
        </w:tc>
        <w:tc>
          <w:tcPr>
            <w:tcW w:w="17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7"/>
                <w:szCs w:val="17"/>
                <w:color w:val="auto"/>
              </w:rPr>
            </w:pPr>
          </w:p>
        </w:tc>
      </w:tr>
      <w:tr>
        <w:trPr>
          <w:trHeight w:val="210"/>
        </w:trPr>
        <w:tc>
          <w:tcPr>
            <w:tcW w:w="82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765</w:t>
            </w: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1,079</w:t>
            </w:r>
          </w:p>
        </w:tc>
        <w:tc>
          <w:tcPr>
            <w:tcW w:w="8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7"/>
                <w:szCs w:val="17"/>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Income Taxes</w:t>
      </w:r>
    </w:p>
    <w:p>
      <w:pPr>
        <w:spacing w:after="0" w:line="104" w:lineRule="exact"/>
        <w:rPr>
          <w:sz w:val="20"/>
          <w:szCs w:val="20"/>
          <w:color w:val="auto"/>
        </w:rPr>
      </w:pPr>
    </w:p>
    <w:p>
      <w:pPr>
        <w:jc w:val="both"/>
        <w:ind w:left="120" w:right="300" w:firstLine="551"/>
        <w:spacing w:after="0" w:line="248" w:lineRule="auto"/>
        <w:rPr>
          <w:sz w:val="20"/>
          <w:szCs w:val="20"/>
          <w:color w:val="auto"/>
        </w:rPr>
      </w:pPr>
      <w:r>
        <w:rPr>
          <w:rFonts w:ascii="Arial" w:cs="Arial" w:eastAsia="Arial" w:hAnsi="Arial"/>
          <w:sz w:val="18"/>
          <w:szCs w:val="18"/>
          <w:color w:val="auto"/>
        </w:rPr>
        <w:t>The provision for income taxes consisted of current state taxes of $3 and $ 8 for the years ended December 31, 2018 and 2019, respectively. The effective tax rate for the Company for the year ended December 31, 2018 and for the year ended December 31, 2019 was zero percent. A reconciliation of income tax computed at the statutory federal income tax rate to the provision (benefit) for income taxes included in the accompanying statements of operations for the Company is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8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Years Ended</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800" w:type="dxa"/>
            <w:vAlign w:val="bottom"/>
          </w:tcPr>
          <w:p>
            <w:pPr>
              <w:spacing w:after="0"/>
              <w:rPr>
                <w:sz w:val="12"/>
                <w:szCs w:val="12"/>
                <w:color w:val="auto"/>
              </w:rPr>
            </w:pPr>
          </w:p>
        </w:tc>
        <w:tc>
          <w:tcPr>
            <w:tcW w:w="2060" w:type="dxa"/>
            <w:vAlign w:val="bottom"/>
            <w:gridSpan w:val="2"/>
          </w:tcPr>
          <w:p>
            <w:pPr>
              <w:jc w:val="center"/>
              <w:ind w:right="1048"/>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8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provision at statutory federal rate</w:t>
            </w:r>
          </w:p>
        </w:tc>
        <w:tc>
          <w:tcPr>
            <w:tcW w:w="2060" w:type="dxa"/>
            <w:vAlign w:val="bottom"/>
            <w:gridSpan w:val="2"/>
            <w:shd w:val="clear" w:color="auto" w:fill="CCEEFF"/>
          </w:tcPr>
          <w:p>
            <w:pPr>
              <w:jc w:val="right"/>
              <w:ind w:right="888"/>
              <w:spacing w:after="0" w:line="196" w:lineRule="exact"/>
              <w:rPr>
                <w:sz w:val="20"/>
                <w:szCs w:val="20"/>
                <w:color w:val="auto"/>
              </w:rPr>
            </w:pPr>
            <w:r>
              <w:rPr>
                <w:rFonts w:ascii="Arial" w:cs="Arial" w:eastAsia="Arial" w:hAnsi="Arial"/>
                <w:sz w:val="18"/>
                <w:szCs w:val="18"/>
                <w:color w:val="auto"/>
              </w:rPr>
              <w:t>21%</w:t>
            </w: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State tax—net of federal benefit</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credits</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valuation allowance</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9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2060" w:type="dxa"/>
            <w:vAlign w:val="bottom"/>
            <w:gridSpan w:val="2"/>
          </w:tcPr>
          <w:p>
            <w:pPr>
              <w:jc w:val="right"/>
              <w:ind w:right="888"/>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For the years ended December 31, 2018 and 2019, the Company’s effective tax rate is below the federal statutory income tax rate of 21% primarily due to state income taxes, net of federal benefit and the Company’s position to establish a full valuation allowance on its deferred tax assets.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are presented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360" w:type="dxa"/>
            <w:vAlign w:val="bottom"/>
          </w:tcPr>
          <w:p>
            <w:pPr>
              <w:spacing w:after="0"/>
              <w:rPr>
                <w:sz w:val="12"/>
                <w:szCs w:val="12"/>
                <w:color w:val="auto"/>
              </w:rPr>
            </w:pPr>
          </w:p>
        </w:tc>
        <w:tc>
          <w:tcPr>
            <w:tcW w:w="130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12,098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18,707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 compensation</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473</w:t>
            </w: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 credits</w:t>
            </w:r>
          </w:p>
        </w:tc>
        <w:tc>
          <w:tcPr>
            <w:tcW w:w="22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Accruals and reserves</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490</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21,167</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(13,812)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(21,106)</w:t>
            </w: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Deferred tax assets recognized</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Fixed assets and depreciation</w:t>
            </w:r>
          </w:p>
        </w:tc>
        <w:tc>
          <w:tcPr>
            <w:tcW w:w="220" w:type="dxa"/>
            <w:vAlign w:val="bottom"/>
          </w:tcPr>
          <w:p>
            <w:pPr>
              <w:spacing w:after="0"/>
              <w:rPr>
                <w:sz w:val="17"/>
                <w:szCs w:val="17"/>
                <w:color w:val="auto"/>
              </w:rPr>
            </w:pP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7"/>
        </w:trPr>
        <w:tc>
          <w:tcPr>
            <w:tcW w:w="8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45"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At December 31, 2018 and 2019, the Company had net operating loss carryforwards of $43,045 and $66,352, respectively. At December 31, 2018, the Company had state net operating loss carryforwards for New Jersey, California and Massachusetts of approximately $ 38,822, $4,912 and $363, respectively. At December 31, 2019, the Company had state net operating loss carryforwards for New Jersey, California and Massachusetts of approximately $61,503, $4,912 and $901, respectively. The federal and state net operating loss carryforwards expire beginning in the year 2033. The Company also has federal and state research and development credit carryforward of approximately $1,658 and $2,169, respectively, at December 31, 2018 and 2019. The federal credits will begin to expire in 2034 if not utilized. The California state credits carryforward indefinitely and the New Jersey state credits expire starting in 2021.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w:t>
      </w:r>
    </w:p>
    <w:p>
      <w:pPr>
        <w:spacing w:after="0" w:line="180"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Company accrues interest and penalties related to unrecognized tax benefits in the Provision for income taxes line item in the statements of operations and comprehensive loss. As of December 31, 2018 and 2019, the Company had not accrued any interest or penalties related to uncertain tax positions.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If the ending balance of $415 and $ 543 of unrecognized tax benefits as of December 31, 2018 and 2019, respectively, were recognized, none of the recognition would affect the income tax rate. The following table summarizes the activity related to the Company’s unrecognized tax benefits: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tax benefits, beginning of year</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7"/>
                <w:szCs w:val="17"/>
                <w:color w:val="auto"/>
              </w:rPr>
            </w:pP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Reductions based on prior year tax positions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based on current year tax positions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163</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w:t>
            </w:r>
          </w:p>
        </w:tc>
      </w:tr>
      <w:tr>
        <w:trPr>
          <w:trHeight w:val="209"/>
        </w:trPr>
        <w:tc>
          <w:tcPr>
            <w:tcW w:w="8080" w:type="dxa"/>
            <w:vAlign w:val="bottom"/>
          </w:tcPr>
          <w:p>
            <w:pPr>
              <w:spacing w:after="0"/>
              <w:rPr>
                <w:sz w:val="20"/>
                <w:szCs w:val="20"/>
                <w:color w:val="auto"/>
              </w:rPr>
            </w:pPr>
            <w:r>
              <w:rPr>
                <w:rFonts w:ascii="Arial" w:cs="Arial" w:eastAsia="Arial" w:hAnsi="Arial"/>
                <w:sz w:val="18"/>
                <w:szCs w:val="18"/>
                <w:color w:val="auto"/>
              </w:rPr>
              <w:t>Unrecognized tax benefits, end of year</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45"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The Company files U.S. federal and state income tax returns with varying statutes of limitations. The Company’s tax years 2013 to 2019 will remain open for examination by the federal and state authorities for three and four years, respectively, from the date of utilization of any net operating loss credits.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Net Loss per Share and Unaudited Pro Forma Net Loss Per Share</w:t>
      </w:r>
    </w:p>
    <w:p>
      <w:pPr>
        <w:spacing w:after="0" w:line="104" w:lineRule="exact"/>
        <w:rPr>
          <w:sz w:val="20"/>
          <w:szCs w:val="20"/>
          <w:color w:val="auto"/>
        </w:rPr>
      </w:pPr>
    </w:p>
    <w:p>
      <w:pPr>
        <w:jc w:val="both"/>
        <w:ind w:left="120" w:right="80" w:firstLine="551"/>
        <w:spacing w:after="0" w:line="276"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2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Years Ended</w:t>
            </w:r>
          </w:p>
        </w:tc>
      </w:tr>
      <w:tr>
        <w:trPr>
          <w:trHeight w:val="140"/>
        </w:trPr>
        <w:tc>
          <w:tcPr>
            <w:tcW w:w="8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gridSpan w:val="4"/>
          </w:tcPr>
          <w:p>
            <w:pPr>
              <w:ind w:left="100"/>
              <w:spacing w:after="0" w:line="141" w:lineRule="exact"/>
              <w:rPr>
                <w:sz w:val="20"/>
                <w:szCs w:val="20"/>
                <w:color w:val="auto"/>
              </w:rPr>
            </w:pPr>
            <w:r>
              <w:rPr>
                <w:rFonts w:ascii="Arial" w:cs="Arial" w:eastAsia="Arial" w:hAnsi="Arial"/>
                <w:sz w:val="14"/>
                <w:szCs w:val="14"/>
                <w:b w:val="1"/>
                <w:bCs w:val="1"/>
                <w:color w:val="auto"/>
              </w:rPr>
              <w:t>December 31,</w:t>
            </w:r>
          </w:p>
        </w:tc>
        <w:tc>
          <w:tcPr>
            <w:tcW w:w="1180" w:type="dxa"/>
            <w:vAlign w:val="bottom"/>
            <w:tcBorders>
              <w:top w:val="single" w:sz="8" w:color="auto"/>
            </w:tcBorders>
            <w:gridSpan w:val="4"/>
          </w:tcPr>
          <w:p>
            <w:pPr>
              <w:jc w:val="right"/>
              <w:ind w:right="120"/>
              <w:spacing w:after="0" w:line="141"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r>
      <w:tr>
        <w:trPr>
          <w:trHeight w:val="177"/>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(as converted)</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17,396,640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22,866,246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26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20" w:type="dxa"/>
            <w:vAlign w:val="bottom"/>
          </w:tcPr>
          <w:p>
            <w:pPr>
              <w:spacing w:after="0"/>
              <w:rPr>
                <w:sz w:val="17"/>
                <w:szCs w:val="17"/>
                <w:color w:val="auto"/>
              </w:rPr>
            </w:pPr>
          </w:p>
        </w:tc>
        <w:tc>
          <w:tcPr>
            <w:tcW w:w="138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2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2,685,615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2,767,868</w:t>
            </w:r>
          </w:p>
        </w:tc>
      </w:tr>
      <w:tr>
        <w:trPr>
          <w:trHeight w:val="210"/>
        </w:trPr>
        <w:tc>
          <w:tcPr>
            <w:tcW w:w="82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20,093,055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25,644,914</w:t>
            </w:r>
          </w:p>
        </w:tc>
        <w:tc>
          <w:tcPr>
            <w:tcW w:w="80" w:type="dxa"/>
            <w:vAlign w:val="bottom"/>
          </w:tcPr>
          <w:p>
            <w:pPr>
              <w:spacing w:after="0"/>
              <w:rPr>
                <w:sz w:val="18"/>
                <w:szCs w:val="18"/>
                <w:color w:val="auto"/>
              </w:rPr>
            </w:pP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8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Years Ended</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0"/>
        </w:trPr>
        <w:tc>
          <w:tcPr>
            <w:tcW w:w="8260" w:type="dxa"/>
            <w:vAlign w:val="bottom"/>
          </w:tcPr>
          <w:p>
            <w:pPr>
              <w:spacing w:after="0"/>
              <w:rPr>
                <w:sz w:val="12"/>
                <w:szCs w:val="12"/>
                <w:color w:val="auto"/>
              </w:rPr>
            </w:pPr>
          </w:p>
        </w:tc>
        <w:tc>
          <w:tcPr>
            <w:tcW w:w="1500" w:type="dxa"/>
            <w:vAlign w:val="bottom"/>
            <w:gridSpan w:val="6"/>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7"/>
        </w:trPr>
        <w:tc>
          <w:tcPr>
            <w:tcW w:w="8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(17,538)</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120" w:type="dxa"/>
            <w:vAlign w:val="bottom"/>
            <w:gridSpan w:val="2"/>
            <w:shd w:val="clear" w:color="auto" w:fill="CCEEFF"/>
          </w:tcPr>
          <w:p>
            <w:pPr>
              <w:spacing w:after="0"/>
              <w:rPr>
                <w:sz w:val="17"/>
                <w:szCs w:val="17"/>
                <w:color w:val="auto"/>
              </w:rPr>
            </w:pPr>
          </w:p>
        </w:tc>
      </w:tr>
      <w:tr>
        <w:trPr>
          <w:trHeight w:val="203"/>
        </w:trPr>
        <w:tc>
          <w:tcPr>
            <w:tcW w:w="826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shares—basic and diluted</w:t>
            </w:r>
          </w:p>
        </w:tc>
        <w:tc>
          <w:tcPr>
            <w:tcW w:w="120" w:type="dxa"/>
            <w:vAlign w:val="bottom"/>
          </w:tcPr>
          <w:p>
            <w:pPr>
              <w:spacing w:after="0"/>
              <w:rPr>
                <w:sz w:val="17"/>
                <w:szCs w:val="17"/>
                <w:color w:val="auto"/>
              </w:rPr>
            </w:pPr>
          </w:p>
        </w:tc>
        <w:tc>
          <w:tcPr>
            <w:tcW w:w="1220" w:type="dxa"/>
            <w:vAlign w:val="bottom"/>
            <w:gridSpan w:val="3"/>
          </w:tcPr>
          <w:p>
            <w:pPr>
              <w:jc w:val="right"/>
              <w:ind w:right="328"/>
              <w:spacing w:after="0" w:line="202" w:lineRule="exact"/>
              <w:rPr>
                <w:sz w:val="20"/>
                <w:szCs w:val="20"/>
                <w:color w:val="auto"/>
              </w:rPr>
            </w:pPr>
            <w:r>
              <w:rPr>
                <w:rFonts w:ascii="Arial" w:cs="Arial" w:eastAsia="Arial" w:hAnsi="Arial"/>
                <w:sz w:val="18"/>
                <w:szCs w:val="18"/>
                <w:color w:val="auto"/>
                <w:w w:val="99"/>
              </w:rPr>
              <w:t>3,012,284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3,035,243</w:t>
            </w:r>
          </w:p>
        </w:tc>
        <w:tc>
          <w:tcPr>
            <w:tcW w:w="80" w:type="dxa"/>
            <w:vAlign w:val="bottom"/>
          </w:tcPr>
          <w:p>
            <w:pPr>
              <w:spacing w:after="0"/>
              <w:rPr>
                <w:sz w:val="17"/>
                <w:szCs w:val="17"/>
                <w:color w:val="auto"/>
              </w:rPr>
            </w:pPr>
          </w:p>
        </w:tc>
      </w:tr>
      <w:tr>
        <w:trPr>
          <w:trHeight w:val="27"/>
        </w:trPr>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(5.82)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(8.35)</w:t>
            </w: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color w:val="auto"/>
        </w:rPr>
        <w:t>shares of common stock as if such conversion had occurred at January 1, 2019, inclusive of 5,321,864 shares of Series D convertible preferred stock issued in July 2020.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9880" w:type="dxa"/>
            <w:vAlign w:val="bottom"/>
          </w:tcPr>
          <w:p>
            <w:pPr>
              <w:spacing w:after="0"/>
              <w:rPr>
                <w:sz w:val="14"/>
                <w:szCs w:val="14"/>
                <w:color w:val="auto"/>
              </w:rPr>
            </w:pPr>
          </w:p>
        </w:tc>
        <w:tc>
          <w:tcPr>
            <w:tcW w:w="114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9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9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9880" w:type="dxa"/>
            <w:vAlign w:val="bottom"/>
          </w:tcPr>
          <w:p>
            <w:pPr>
              <w:spacing w:after="0"/>
              <w:rPr>
                <w:sz w:val="20"/>
                <w:szCs w:val="20"/>
                <w:color w:val="auto"/>
              </w:rPr>
            </w:pPr>
            <w:r>
              <w:rPr>
                <w:rFonts w:ascii="Arial" w:cs="Arial" w:eastAsia="Arial" w:hAnsi="Arial"/>
                <w:sz w:val="18"/>
                <w:szCs w:val="18"/>
                <w:color w:val="auto"/>
              </w:rPr>
              <w:t>Weighted-average number of shares—basic and diluted</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3,035,243</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Assumed weighted-average effect of conversion of convertible preferred stock (unaudited)</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9"/>
              </w:rPr>
              <w:t>28,188,110</w:t>
            </w:r>
          </w:p>
        </w:tc>
      </w:tr>
      <w:tr>
        <w:trPr>
          <w:trHeight w:val="217"/>
        </w:trPr>
        <w:tc>
          <w:tcPr>
            <w:tcW w:w="9880" w:type="dxa"/>
            <w:vAlign w:val="bottom"/>
          </w:tcPr>
          <w:p>
            <w:pPr>
              <w:spacing w:after="0"/>
              <w:rPr>
                <w:sz w:val="20"/>
                <w:szCs w:val="20"/>
                <w:color w:val="auto"/>
              </w:rPr>
            </w:pPr>
            <w:r>
              <w:rPr>
                <w:rFonts w:ascii="Arial" w:cs="Arial" w:eastAsia="Arial" w:hAnsi="Arial"/>
                <w:sz w:val="18"/>
                <w:szCs w:val="18"/>
                <w:color w:val="auto"/>
              </w:rPr>
              <w:t>Pro Forma weighted-average number of shares—basic and diluted</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31,223,353</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(0.81)</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12. Related Parties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 consulting agreement with a member of the Board of Directors. Consulting fees paid in the year ended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 and 2019 were $100. There were no amounts owed under the consulting agreement at December 31, 2018 or 2019.</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13. Subsequent Events</w:t>
      </w:r>
    </w:p>
    <w:p>
      <w:pPr>
        <w:spacing w:after="0" w:line="10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Subsequent events have been evaluated through June 26, 2020, which is the date the financial statements were issued. In connection with the reissuance of these financial statements to reflect the 5.2651-for-1 reverse stock split as described in Note 2, the Company has evaluated subsequent events through September 21, 2020, the date the audited financial statements were available to be reissued.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7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73,278</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78,051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148,021</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28,208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8,085</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8,085</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651</w:t>
            </w:r>
          </w:p>
        </w:tc>
      </w:tr>
      <w:tr>
        <w:trPr>
          <w:trHeight w:val="210"/>
        </w:trPr>
        <w:tc>
          <w:tcPr>
            <w:tcW w:w="73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86,787</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156,757</w:t>
            </w:r>
          </w:p>
        </w:tc>
        <w:tc>
          <w:tcPr>
            <w:tcW w:w="120" w:type="dxa"/>
            <w:vAlign w:val="bottom"/>
          </w:tcPr>
          <w:p>
            <w:pPr>
              <w:spacing w:after="0"/>
              <w:rPr>
                <w:sz w:val="18"/>
                <w:szCs w:val="18"/>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609</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1,505</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1,475</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201</w:t>
            </w: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89,102</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159,042</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2,837</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2,146</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2,907</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5,083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5,053</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5,147</w:t>
            </w:r>
          </w:p>
        </w:tc>
      </w:tr>
      <w:tr>
        <w:trPr>
          <w:trHeight w:val="187"/>
        </w:trPr>
        <w:tc>
          <w:tcPr>
            <w:tcW w:w="7320" w:type="dxa"/>
            <w:vAlign w:val="bottom"/>
          </w:tcPr>
          <w:p>
            <w:pPr>
              <w:spacing w:after="0" w:line="187" w:lineRule="exact"/>
              <w:rPr>
                <w:sz w:val="20"/>
                <w:szCs w:val="20"/>
                <w:color w:val="auto"/>
              </w:rPr>
            </w:pPr>
            <w:r>
              <w:rPr>
                <w:rFonts w:ascii="Arial" w:cs="Arial" w:eastAsia="Arial" w:hAnsi="Arial"/>
                <w:sz w:val="18"/>
                <w:szCs w:val="18"/>
                <w:color w:val="auto"/>
              </w:rPr>
              <w:t>Convertible preferred stock, accumulated liquidation value of $169,385, $169,385, and $0</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at December 31, 2019, June 30, 2020 (unaudited), and pro forma June 30, 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7320" w:type="dxa"/>
            <w:vAlign w:val="bottom"/>
          </w:tcPr>
          <w:p>
            <w:pPr>
              <w:ind w:left="180"/>
              <w:spacing w:after="0"/>
              <w:rPr>
                <w:sz w:val="20"/>
                <w:szCs w:val="20"/>
                <w:color w:val="auto"/>
              </w:rPr>
            </w:pPr>
            <w:r>
              <w:rPr>
                <w:rFonts w:ascii="Arial" w:cs="Arial" w:eastAsia="Arial" w:hAnsi="Arial"/>
                <w:sz w:val="18"/>
                <w:szCs w:val="18"/>
                <w:color w:val="auto"/>
              </w:rPr>
              <w:t>(unaudited), respectively (see Note 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168,933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168,933</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0"/>
        </w:trPr>
        <w:tc>
          <w:tcPr>
            <w:tcW w:w="7320" w:type="dxa"/>
            <w:vAlign w:val="bottom"/>
          </w:tcPr>
          <w:p>
            <w:pPr>
              <w:ind w:left="360"/>
              <w:spacing w:after="0" w:line="180" w:lineRule="exact"/>
              <w:rPr>
                <w:sz w:val="20"/>
                <w:szCs w:val="20"/>
                <w:color w:val="auto"/>
              </w:rPr>
            </w:pPr>
            <w:r>
              <w:rPr>
                <w:rFonts w:ascii="Arial" w:cs="Arial" w:eastAsia="Arial" w:hAnsi="Arial"/>
                <w:sz w:val="18"/>
                <w:szCs w:val="18"/>
                <w:color w:val="auto"/>
              </w:rPr>
              <w:t>Common stock, $0.00001 par value, 33,250,829, 33,250,829, and 1,000,000,000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shares authorized; 3,046,200, 3,046,200, and 31,234,310 shares issued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outstanding at December 31, 2019, June 30, 2020 (unaudited), and pro forma June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7320" w:type="dxa"/>
            <w:vAlign w:val="bottom"/>
          </w:tcPr>
          <w:p>
            <w:pPr>
              <w:ind w:left="540"/>
              <w:spacing w:after="0"/>
              <w:rPr>
                <w:sz w:val="20"/>
                <w:szCs w:val="20"/>
                <w:color w:val="auto"/>
              </w:rPr>
            </w:pPr>
            <w:r>
              <w:rPr>
                <w:rFonts w:ascii="Arial" w:cs="Arial" w:eastAsia="Arial" w:hAnsi="Arial"/>
                <w:sz w:val="18"/>
                <w:szCs w:val="18"/>
                <w:color w:val="auto"/>
              </w:rPr>
              <w:t>30, 2020 (unaudited), respectively</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5,648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244,551</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(75,440)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(90,661)</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(90,661)</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r>
      <w:tr>
        <w:trPr>
          <w:trHeight w:val="217"/>
        </w:trPr>
        <w:tc>
          <w:tcPr>
            <w:tcW w:w="7320" w:type="dxa"/>
            <w:vAlign w:val="bottom"/>
          </w:tcPr>
          <w:p>
            <w:pPr>
              <w:ind w:left="72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(85,008)</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153,895</w:t>
            </w:r>
          </w:p>
        </w:tc>
        <w:tc>
          <w:tcPr>
            <w:tcW w:w="120" w:type="dxa"/>
            <w:vAlign w:val="bottom"/>
          </w:tcPr>
          <w:p>
            <w:pPr>
              <w:spacing w:after="0"/>
              <w:rPr>
                <w:sz w:val="18"/>
                <w:szCs w:val="18"/>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 equity</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103,033</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89,102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159,042</w:t>
            </w: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6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6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668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10,165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11,760</w:t>
            </w: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3,979</w:t>
            </w:r>
          </w:p>
        </w:tc>
      </w:tr>
      <w:tr>
        <w:trPr>
          <w:trHeight w:val="217"/>
        </w:trPr>
        <w:tc>
          <w:tcPr>
            <w:tcW w:w="66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r>
      <w:tr>
        <w:trPr>
          <w:trHeight w:val="202"/>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(15,739)</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563</w:t>
            </w:r>
          </w:p>
        </w:tc>
      </w:tr>
      <w:tr>
        <w:trPr>
          <w:trHeight w:val="203"/>
        </w:trPr>
        <w:tc>
          <w:tcPr>
            <w:tcW w:w="668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w:t>
            </w:r>
          </w:p>
        </w:tc>
      </w:tr>
      <w:tr>
        <w:trPr>
          <w:trHeight w:val="27"/>
        </w:trPr>
        <w:tc>
          <w:tcPr>
            <w:tcW w:w="6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520</w:t>
            </w:r>
          </w:p>
        </w:tc>
      </w:tr>
      <w:tr>
        <w:trPr>
          <w:trHeight w:val="209"/>
        </w:trPr>
        <w:tc>
          <w:tcPr>
            <w:tcW w:w="668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(12,127)</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(15,219)</w:t>
            </w:r>
          </w:p>
        </w:tc>
        <w:tc>
          <w:tcPr>
            <w:tcW w:w="120" w:type="dxa"/>
            <w:vAlign w:val="bottom"/>
          </w:tcPr>
          <w:p>
            <w:pPr>
              <w:spacing w:after="0"/>
              <w:rPr>
                <w:sz w:val="18"/>
                <w:szCs w:val="18"/>
                <w:color w:val="auto"/>
              </w:rPr>
            </w:pPr>
          </w:p>
        </w:tc>
      </w:tr>
      <w:tr>
        <w:trPr>
          <w:trHeight w:val="203"/>
        </w:trPr>
        <w:tc>
          <w:tcPr>
            <w:tcW w:w="6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10"/>
        </w:trPr>
        <w:tc>
          <w:tcPr>
            <w:tcW w:w="66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120" w:type="dxa"/>
            <w:vAlign w:val="bottom"/>
          </w:tcPr>
          <w:p>
            <w:pPr>
              <w:spacing w:after="0"/>
              <w:rPr>
                <w:sz w:val="18"/>
                <w:szCs w:val="18"/>
                <w:color w:val="auto"/>
              </w:rPr>
            </w:pP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gains on marketable securities, net of tax</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9"/>
        </w:trPr>
        <w:tc>
          <w:tcPr>
            <w:tcW w:w="668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17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(12,113)</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(15,213)</w:t>
            </w:r>
          </w:p>
        </w:tc>
        <w:tc>
          <w:tcPr>
            <w:tcW w:w="1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6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 per share — basic and diluted</w:t>
            </w:r>
          </w:p>
        </w:tc>
        <w:tc>
          <w:tcPr>
            <w:tcW w:w="1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(5.00)</w:t>
            </w:r>
          </w:p>
        </w:tc>
      </w:tr>
      <w:tr>
        <w:trPr>
          <w:trHeight w:val="203"/>
        </w:trPr>
        <w:tc>
          <w:tcPr>
            <w:tcW w:w="668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w w:val="97"/>
              </w:rPr>
              <w:t>3,024,097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3,046,200</w:t>
            </w: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loss per share - basic and diluted</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(0.49)</w:t>
            </w:r>
          </w:p>
        </w:tc>
      </w:tr>
      <w:tr>
        <w:trPr>
          <w:trHeight w:val="243"/>
        </w:trPr>
        <w:tc>
          <w:tcPr>
            <w:tcW w:w="6680" w:type="dxa"/>
            <w:vAlign w:val="bottom"/>
          </w:tcPr>
          <w:p>
            <w:pPr>
              <w:ind w:left="360"/>
              <w:spacing w:after="0"/>
              <w:rPr>
                <w:sz w:val="20"/>
                <w:szCs w:val="20"/>
                <w:color w:val="auto"/>
              </w:rPr>
            </w:pPr>
            <w:r>
              <w:rPr>
                <w:rFonts w:ascii="Arial" w:cs="Arial" w:eastAsia="Arial" w:hAnsi="Arial"/>
                <w:sz w:val="18"/>
                <w:szCs w:val="18"/>
                <w:color w:val="auto"/>
              </w:rPr>
              <w:t>Pro forma weighted-average common shares outstanding</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31,234,310</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 Equity</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80" w:type="dxa"/>
            <w:vAlign w:val="bottom"/>
            <w:tcBorders>
              <w:right w:val="single" w:sz="8" w:color="auto"/>
            </w:tcBorders>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2080" w:type="dxa"/>
            <w:vAlign w:val="bottom"/>
            <w:tcBorders>
              <w:right w:val="single" w:sz="8" w:color="auto"/>
            </w:tcBorders>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2080" w:type="dxa"/>
            <w:vAlign w:val="bottom"/>
            <w:tcBorders>
              <w:right w:val="single" w:sz="8" w:color="auto"/>
            </w:tcBorders>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5"/>
                <w:szCs w:val="5"/>
                <w:color w:val="auto"/>
              </w:rPr>
            </w:pPr>
          </w:p>
        </w:tc>
        <w:tc>
          <w:tcPr>
            <w:tcW w:w="13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300" w:type="dxa"/>
            <w:vAlign w:val="bottom"/>
          </w:tcPr>
          <w:p>
            <w:pPr>
              <w:spacing w:after="0"/>
              <w:rPr>
                <w:sz w:val="9"/>
                <w:szCs w:val="9"/>
                <w:color w:val="auto"/>
              </w:rPr>
            </w:pPr>
          </w:p>
        </w:tc>
        <w:tc>
          <w:tcPr>
            <w:tcW w:w="2080" w:type="dxa"/>
            <w:vAlign w:val="bottom"/>
            <w:tcBorders>
              <w:right w:val="single" w:sz="8" w:color="auto"/>
            </w:tcBorders>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9"/>
                <w:szCs w:val="9"/>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116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23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30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60"/>
        </w:trPr>
        <w:tc>
          <w:tcPr>
            <w:tcW w:w="230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8"/>
                <w:szCs w:val="18"/>
                <w:color w:val="auto"/>
              </w:rPr>
              <w:t>Balance at December 31,</w:t>
            </w: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17,396,640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107,228</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3,012,284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(50,088)</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Exercise of stock options</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33,916</w:t>
            </w:r>
          </w:p>
        </w:tc>
        <w:tc>
          <w:tcPr>
            <w:tcW w:w="2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 (unaudited)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Net loss (unaudited)</w:t>
            </w: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(12,129)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Unrealized gain on</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(unaudited)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17,396,640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107,228</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3,046,200</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(62,217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Balance at December 31,</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22,866,246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168,933</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3,046,200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4,969</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(75,440)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Stock-based compensation</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expense (unaudited)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(unaudited)</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(15,221)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180"/>
        </w:trPr>
        <w:tc>
          <w:tcPr>
            <w:tcW w:w="2300" w:type="dxa"/>
            <w:vAlign w:val="bottom"/>
          </w:tcPr>
          <w:p>
            <w:pPr>
              <w:spacing w:after="0" w:line="180" w:lineRule="exact"/>
              <w:rPr>
                <w:sz w:val="20"/>
                <w:szCs w:val="20"/>
                <w:color w:val="auto"/>
              </w:rPr>
            </w:pPr>
            <w:r>
              <w:rPr>
                <w:rFonts w:ascii="Arial" w:cs="Arial" w:eastAsia="Arial" w:hAnsi="Arial"/>
                <w:sz w:val="18"/>
                <w:szCs w:val="18"/>
                <w:color w:val="auto"/>
              </w:rPr>
              <w:t>Unrealized gain 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300" w:type="dxa"/>
            <w:vAlign w:val="bottom"/>
          </w:tcPr>
          <w:p>
            <w:pPr>
              <w:ind w:left="180"/>
              <w:spacing w:after="0"/>
              <w:rPr>
                <w:sz w:val="20"/>
                <w:szCs w:val="20"/>
                <w:color w:val="auto"/>
              </w:rPr>
            </w:pPr>
            <w:r>
              <w:rPr>
                <w:rFonts w:ascii="Arial" w:cs="Arial" w:eastAsia="Arial" w:hAnsi="Arial"/>
                <w:sz w:val="18"/>
                <w:szCs w:val="18"/>
                <w:color w:val="auto"/>
              </w:rPr>
              <w:t>investments (unaudited)</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2020</w:t>
            </w: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22,866,246</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168,933</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3,046,200</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5,648</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2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(90,661)</w:t>
            </w: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Issuance of Series D</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Stock (unaudited)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5,321,864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69,970</w:t>
            </w: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Conversion of convertible</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 into</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28,188,110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(238,903)</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28,188,110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238,903</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238,903</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Pro forma balance at</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June 30, 2020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31,234,310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244,551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(90,661)</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153,895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8360" w:type="dxa"/>
            <w:vAlign w:val="bottom"/>
          </w:tcPr>
          <w:p>
            <w:pPr>
              <w:spacing w:after="0"/>
              <w:rPr>
                <w:sz w:val="15"/>
                <w:szCs w:val="15"/>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8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(12,129)</w:t>
            </w:r>
          </w:p>
        </w:tc>
        <w:tc>
          <w:tcPr>
            <w:tcW w:w="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(15,221)</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430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679</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w:t>
            </w: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premiums on marketable securities</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(1,205)</w:t>
            </w:r>
          </w:p>
        </w:tc>
      </w:tr>
      <w:tr>
        <w:trPr>
          <w:trHeight w:val="210"/>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(11,211)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(15,034)</w:t>
            </w:r>
          </w:p>
        </w:tc>
      </w:tr>
      <w:tr>
        <w:trPr>
          <w:trHeight w:val="209"/>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(10,735)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(14,618)</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33,610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34,600</w:t>
            </w: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19,931</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Payment of deferred offering costs</w:t>
            </w:r>
          </w:p>
        </w:tc>
        <w:tc>
          <w:tcPr>
            <w:tcW w:w="18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11,663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4,773</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 beginning of period</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Cash and cash equivalents -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78,051</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Cash paid for income tax</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disclosures of noncash 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3"/>
        </w:trPr>
        <w:tc>
          <w:tcPr>
            <w:tcW w:w="8360" w:type="dxa"/>
            <w:vAlign w:val="bottom"/>
          </w:tcPr>
          <w:p>
            <w:pPr>
              <w:ind w:left="360"/>
              <w:spacing w:after="0"/>
              <w:rPr>
                <w:sz w:val="20"/>
                <w:szCs w:val="20"/>
                <w:color w:val="auto"/>
              </w:rPr>
            </w:pPr>
            <w:r>
              <w:rPr>
                <w:rFonts w:ascii="Arial" w:cs="Arial" w:eastAsia="Arial" w:hAnsi="Arial"/>
                <w:sz w:val="18"/>
                <w:szCs w:val="18"/>
                <w:color w:val="auto"/>
              </w:rPr>
              <w:t>Unpaid offering costs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2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Formation and Business of the Company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70"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0"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The Company has incurred net losses and negative cash flows from operations. During the six months ended June 30, 2020, the Company incurred a net loss of $15,221 and used $15,034 of cash for operations. At June 30, 2020, the Company had accumulated deficit of $90,661. Cash, cash equivalents and short-term marketable securities at June 30, 2020 were $86,136.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04"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The Company’s significant accounting policies are disclosed in the audited financial statements for the year ended December 31, 2019, included elsewhere in this prospectus. Since the date of those financial statements, there have been no changes to its significant accounting policies except as noted below.</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120" w:firstLine="551"/>
        <w:spacing w:after="0" w:line="260" w:lineRule="auto"/>
        <w:rPr>
          <w:sz w:val="20"/>
          <w:szCs w:val="20"/>
          <w:color w:val="auto"/>
        </w:rPr>
      </w:pPr>
      <w:r>
        <w:rPr>
          <w:rFonts w:ascii="Arial" w:cs="Arial" w:eastAsia="Arial" w:hAnsi="Arial"/>
          <w:sz w:val="17"/>
          <w:szCs w:val="17"/>
          <w:color w:val="auto"/>
        </w:rPr>
        <w:t>The unaudited interim condensed financial statements have been prepared on the same basis as the audited financial statements. In the opinion of the Company’s management, the accompanying unaudited interim consolidated financial statements contain all adjustments that are necessary to present fairly the Company’s financial position as of June 30, 2020, the results of its operations and other comprehensive loss for the six months ended June 30, 2020 and 2019, convertible preferred stock and stockholders’ deficit for the six months ended June 30, 2020 and 2019 and cash flows for the six months ended June 30, 2020 and 2019. Such adjustments are of a normal and recurring nature. The results for the six months ended June 30, 2020 are not necessarily indicative of the results for the</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320" w:top="455" w:right="55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year ending December 31, 2020, or for any future period. These interim financial statements should be read in conjunction with the audited financial statements as of and for the year ended December 31, 2019, and the notes thereto, which are included elsewhere in this prospectus.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In September 2020, the Company’s Board of Directors and stockholders approved an amendment to the Company’s amended and restated certificate of incorporation to effect a 5.2651-for-1 reverse stock split of the Company’s common stock and convertible preferred stock, which was effected on September 18, 2020. The par value of the common stock and convertible preferred stock were not adjusted as a result of the reverse stock split. Accordingly, all common stock, convertible preferred stock, stock options, and related per share amounts in these unaudited interm financial statements have been retroactively adjusted for all periods presented to give effect to the reverse stock split.</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For the six-months ended June 30, 2019 and 2020, the Company recorded $35 and $147 of amortization, respectively.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0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The Company recorded $16 and $8 in other comprehensive income related to unrealized gains on marketable securities, net of tax for the six-months ended June 30, 2019 and 2020, respectively. The Company presents comprehensive income in a single statement within its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 shares of common stock as if such conversion had occurred at January 1, 2020, inclusive of 5,321,864 shares of common stock issuable upon the conversion of the Company’s Series D convertible preferred stock (“Series D Preferred Stock”) issued in July 2020.</w:t>
      </w:r>
    </w:p>
    <w:p>
      <w:pPr>
        <w:spacing w:after="0" w:line="17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Upon the closing of the Company’s qualified initial public offering (see Note 6), all of the outstanding shares of convertible preferred stock will automatically convert into shares of common</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3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80"/>
        <w:spacing w:after="0" w:line="260" w:lineRule="auto"/>
        <w:rPr>
          <w:sz w:val="20"/>
          <w:szCs w:val="20"/>
          <w:color w:val="auto"/>
        </w:rPr>
      </w:pPr>
      <w:r>
        <w:rPr>
          <w:rFonts w:ascii="Arial" w:cs="Arial" w:eastAsia="Arial" w:hAnsi="Arial"/>
          <w:sz w:val="17"/>
          <w:szCs w:val="17"/>
          <w:color w:val="auto"/>
        </w:rPr>
        <w:t>stock. The unaudited pro forma condensed balance sheet and the unaudited pro forma condensed statements of convertible preferred stock and stockholders’ (deficit) equity give pro forma effect to the issuance and sale in July 2020 of an aggregate of 5,321,864 shares of the Company’s Series D Preferred Stock for gross proceeds of $70,000 and the conversion of all issued and outstanding shares of convertible preferred stock as of June 30, 2020 into shares of common stock, inclusive of 5,321,864 shares of common stock issuable upon the conversion of the Company’s Series D Preferred Stock issued in July 2020. The shares of common stock expected to be issued and the proceeds expected to be received in the initial public offering (“IPO”) are excluded from such pro forma financial information.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Company capitalizes incremental legal, professional, accounting, and other third-party fees that are directly associated with the planned IPO as other non-current assets until the IPO is consummated. After consummation of the IPO, these costs will be recorded in stockholders’ deficit as a reduction of additional paid-in-capital generated from the offering. If the Company terminates its plan for an IPO, any costs deferred will be expensed immediately. As of June 30, 2020, deferred offering costs were $1,475.</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0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or services. Consequently, the accounting for share-based payments to nonemployees and employees will be substantially aligned. The ASU supersedes Subtopic 505-50, Equity—Equity-Based Payments to Non-Employees. The pronouncement is effective for the Company in the annual period beginning after December 15, 2019, and early adoption is permitted. The Company adopted this guidance on January 1, 2020. The adoption of this standard did not have a material impact on the Company’s financial statements.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04"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The new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new standard is effective for fiscal years beginning after December 15, 2021, and interim periods within fiscal years beginning after December 15, 2022 for all non-public entities, with early adoption permitted. The Company is currently assessing the impact that adopting this standard will have on its financial statements.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includes a checking account held at one financial institution. At times, such deposits may be in excess of insured limits. The Company has not experienced any losses on its deposits of cash and cash</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5" w:right="47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80"/>
        <w:spacing w:after="0" w:line="276" w:lineRule="auto"/>
        <w:rPr>
          <w:sz w:val="20"/>
          <w:szCs w:val="20"/>
          <w:color w:val="auto"/>
        </w:rPr>
      </w:pPr>
      <w:r>
        <w:rPr>
          <w:rFonts w:ascii="Arial" w:cs="Arial" w:eastAsia="Arial" w:hAnsi="Arial"/>
          <w:sz w:val="18"/>
          <w:szCs w:val="18"/>
          <w:color w:val="auto"/>
        </w:rPr>
        <w:t>equivalents. The Company’s marketable debt securities are carried at fair value with unrealized gains and losses. Any investments with unrealized losses are considered to be temporarily impaired.</w:t>
      </w:r>
    </w:p>
    <w:p>
      <w:pPr>
        <w:spacing w:after="0" w:line="145"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70"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17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2019 and June 30, 2020:</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1"/>
          </w:tcPr>
          <w:p>
            <w:pPr>
              <w:jc w:val="center"/>
              <w:ind w:right="880"/>
              <w:spacing w:after="0"/>
              <w:rPr>
                <w:sz w:val="20"/>
                <w:szCs w:val="20"/>
                <w:color w:val="auto"/>
              </w:rPr>
            </w:pPr>
            <w:r>
              <w:rPr>
                <w:rFonts w:ascii="Arial" w:cs="Arial" w:eastAsia="Arial" w:hAnsi="Arial"/>
                <w:sz w:val="14"/>
                <w:szCs w:val="14"/>
                <w:b w:val="1"/>
                <w:bCs w:val="1"/>
                <w:color w:val="auto"/>
              </w:rPr>
              <w:t>As of June 30, 2020 (unaudited)</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Quoted priced in</w:t>
            </w:r>
          </w:p>
        </w:tc>
        <w:tc>
          <w:tcPr>
            <w:tcW w:w="60" w:type="dxa"/>
            <w:vAlign w:val="bottom"/>
          </w:tcPr>
          <w:p>
            <w:pPr>
              <w:spacing w:after="0"/>
              <w:rPr>
                <w:sz w:val="12"/>
                <w:szCs w:val="12"/>
                <w:color w:val="auto"/>
              </w:rPr>
            </w:pPr>
          </w:p>
        </w:tc>
        <w:tc>
          <w:tcPr>
            <w:tcW w:w="142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5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Fair Value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2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48,657</w:t>
            </w:r>
          </w:p>
        </w:tc>
        <w:tc>
          <w:tcPr>
            <w:tcW w:w="1260" w:type="dxa"/>
            <w:vAlign w:val="bottom"/>
            <w:gridSpan w:val="5"/>
          </w:tcPr>
          <w:p>
            <w:pPr>
              <w:jc w:val="right"/>
              <w:ind w:right="260"/>
              <w:spacing w:after="0" w:line="202" w:lineRule="exact"/>
              <w:rPr>
                <w:sz w:val="20"/>
                <w:szCs w:val="20"/>
                <w:color w:val="auto"/>
              </w:rPr>
            </w:pPr>
            <w:r>
              <w:rPr>
                <w:rFonts w:ascii="Arial" w:cs="Arial" w:eastAsia="Arial" w:hAnsi="Arial"/>
                <w:sz w:val="18"/>
                <w:szCs w:val="18"/>
                <w:color w:val="auto"/>
              </w:rPr>
              <w:t>48,657</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48,657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32,081</w:t>
            </w:r>
          </w:p>
        </w:tc>
        <w:tc>
          <w:tcPr>
            <w:tcW w:w="1260" w:type="dxa"/>
            <w:vAlign w:val="bottom"/>
            <w:gridSpan w:val="5"/>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32,086</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32,086</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80,738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$ 80,743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48,657</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32,086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12"/>
        </w:trPr>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As of December 31, 2019</w:t>
            </w: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Quoted Priced in</w:t>
            </w:r>
          </w:p>
        </w:tc>
        <w:tc>
          <w:tcPr>
            <w:tcW w:w="148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5"/>
                <w:szCs w:val="15"/>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2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1,680</w:t>
            </w:r>
          </w:p>
        </w:tc>
        <w:tc>
          <w:tcPr>
            <w:tcW w:w="10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1,680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1,680</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97,819</w:t>
            </w:r>
          </w:p>
        </w:tc>
        <w:tc>
          <w:tcPr>
            <w:tcW w:w="10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97,816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97,816</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99,499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99,496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375"/>
        </w:trPr>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F-34</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140" w:firstLine="523"/>
        <w:spacing w:after="0" w:line="243"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Cash equivalents of $71.3 million as of December 31, 2019 consisted of money market funds of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corporate debt securities of $69.6 million. Cash equivalents of $72.7 million as of June 30, 2020 consisted of money market funds of $48.7 million and corporate debt securities of $24.0 million. Money market funds are classified within level 1 of the fair value hierarchy because they are valued using quoted market prices in active markets, whereas corporate securities are classified within level 2 of the fair value hierarchy because they are valued using inputs other than quoted prices that are observable for the asset or liability either directly or indirectly.</w:t>
      </w:r>
    </w:p>
    <w:p>
      <w:pPr>
        <w:spacing w:after="0" w:line="66" w:lineRule="exact"/>
        <w:rPr>
          <w:sz w:val="20"/>
          <w:szCs w:val="20"/>
          <w:color w:val="auto"/>
        </w:rPr>
      </w:pPr>
    </w:p>
    <w:p>
      <w:pPr>
        <w:ind w:left="660" w:right="380" w:firstLine="523"/>
        <w:spacing w:after="0" w:line="255" w:lineRule="auto"/>
        <w:rPr>
          <w:sz w:val="20"/>
          <w:szCs w:val="20"/>
          <w:color w:val="auto"/>
        </w:rPr>
      </w:pPr>
      <w:r>
        <w:rPr>
          <w:rFonts w:ascii="Arial" w:cs="Arial" w:eastAsia="Arial" w:hAnsi="Arial"/>
          <w:sz w:val="18"/>
          <w:szCs w:val="18"/>
          <w:b w:val="1"/>
          <w:bCs w:val="1"/>
          <w:i w:val="1"/>
          <w:iCs w:val="1"/>
          <w:color w:val="auto"/>
        </w:rPr>
        <w:t xml:space="preserve">Marketable Securities </w:t>
      </w:r>
      <w:r>
        <w:rPr>
          <w:rFonts w:ascii="Arial" w:cs="Arial" w:eastAsia="Arial" w:hAnsi="Arial"/>
          <w:sz w:val="18"/>
          <w:szCs w:val="18"/>
          <w:color w:val="auto"/>
        </w:rPr>
        <w:t>— Marketable securities of $28.2 million and $8.1 million as of December 31, 2019 and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respectively, consisted of corporate debt securities classified within level 2 of the fair value hierarchy because they are valued using inputs other than quoted prices that are observable for the asset or liability either directly or indirectly.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June 30,</w:t>
            </w:r>
          </w:p>
        </w:tc>
      </w:tr>
      <w:tr>
        <w:trPr>
          <w:trHeight w:val="162"/>
        </w:trPr>
        <w:tc>
          <w:tcPr>
            <w:tcW w:w="5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55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Machinery &amp; equipment</w:t>
            </w:r>
          </w:p>
        </w:tc>
        <w:tc>
          <w:tcPr>
            <w:tcW w:w="2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Computers</w:t>
            </w: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&amp; fixtures</w:t>
            </w: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r>
      <w:tr>
        <w:trPr>
          <w:trHeight w:val="210"/>
        </w:trPr>
        <w:tc>
          <w:tcPr>
            <w:tcW w:w="55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2,034</w:t>
            </w:r>
          </w:p>
        </w:tc>
      </w:tr>
      <w:tr>
        <w:trPr>
          <w:trHeight w:val="202"/>
        </w:trPr>
        <w:tc>
          <w:tcPr>
            <w:tcW w:w="55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(1,243)</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(1,425)</w:t>
            </w:r>
          </w:p>
        </w:tc>
      </w:tr>
      <w:tr>
        <w:trPr>
          <w:trHeight w:val="27"/>
        </w:trPr>
        <w:tc>
          <w:tcPr>
            <w:tcW w:w="5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3180" w:type="dxa"/>
            <w:vAlign w:val="bottom"/>
            <w:gridSpan w:val="2"/>
            <w:shd w:val="clear" w:color="auto" w:fill="CCEEFF"/>
          </w:tcPr>
          <w:p>
            <w:pPr>
              <w:ind w:left="29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609</w:t>
            </w:r>
          </w:p>
        </w:tc>
      </w:tr>
      <w:tr>
        <w:trPr>
          <w:trHeight w:val="20"/>
        </w:trPr>
        <w:tc>
          <w:tcPr>
            <w:tcW w:w="5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for the six months ended June 30, 2019 and 2020 was $186 and $182, respectively.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7"/>
        </w:trPr>
        <w:tc>
          <w:tcPr>
            <w:tcW w:w="7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bonuses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1,281</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367</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554</w:t>
            </w: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legal and professional services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868</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costs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476</w:t>
            </w: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w:t>
            </w: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Convertible Preferred Stock</w:t>
      </w:r>
    </w:p>
    <w:p>
      <w:pPr>
        <w:spacing w:after="0" w:line="104" w:lineRule="exact"/>
        <w:rPr>
          <w:sz w:val="20"/>
          <w:szCs w:val="20"/>
          <w:color w:val="auto"/>
        </w:rPr>
      </w:pPr>
    </w:p>
    <w:p>
      <w:pPr>
        <w:jc w:val="both"/>
        <w:ind w:left="120" w:right="80" w:firstLine="551"/>
        <w:spacing w:after="0" w:line="276" w:lineRule="auto"/>
        <w:rPr>
          <w:sz w:val="20"/>
          <w:szCs w:val="20"/>
          <w:color w:val="auto"/>
        </w:rPr>
      </w:pPr>
      <w:r>
        <w:rPr>
          <w:rFonts w:ascii="Arial" w:cs="Arial" w:eastAsia="Arial" w:hAnsi="Arial"/>
          <w:sz w:val="18"/>
          <w:szCs w:val="18"/>
          <w:color w:val="auto"/>
        </w:rPr>
        <w:t>The Company is authorized to issue up to 22,883,426 shares of convertible preferred stock with a par value of $0.00001 per share. 1,657,903 shares have been designated as Series Seed convertible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color w:val="auto"/>
        </w:rPr>
        <w:t>preferred stock (Series Seed Preferred), 8,076,985 shares have been designated as Series A convertible preferred stock (Series A Preferred), 7,672,560 shares have been designated as Series B convertible preferred stock (Series B Preferred) and 5,475,978 shares have been designated as Series C convertible preferred stock (Series C Preferred). As of June 30, 2020, the Company had an aggregate of 22,866,246 shares of Series Seed Preferred, Series A Preferred, Series B Preferred and Series C Preferred, (collectively, “Preferred Stock”) issued and outstanding.</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and June 30, 2020, the Preferred Stock consisted of the following (in thousands, except for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428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Liquidation</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 Upon</w:t>
            </w:r>
          </w:p>
        </w:tc>
      </w:tr>
      <w:tr>
        <w:trPr>
          <w:trHeight w:val="177"/>
        </w:trPr>
        <w:tc>
          <w:tcPr>
            <w:tcW w:w="428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Value</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Seed Preferred</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1,657,903</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A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8,076,985</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8,076,982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30,593</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30,734</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8,076,982</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w:t>
            </w: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7,672,560</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7,672,556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73,627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73,728</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7,672,556</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C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5,475,978</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5,469,606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61,705</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61,873</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5,469,606</w:t>
            </w:r>
          </w:p>
        </w:tc>
      </w:tr>
      <w:tr>
        <w:trPr>
          <w:trHeight w:val="27"/>
        </w:trPr>
        <w:tc>
          <w:tcPr>
            <w:tcW w:w="4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22,883,426</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22,866,246</w:t>
            </w:r>
          </w:p>
        </w:tc>
        <w:tc>
          <w:tcPr>
            <w:tcW w:w="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168,933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169,385</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22,866,246</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660" w:right="100" w:firstLine="523"/>
        <w:spacing w:after="0" w:line="248"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June 30, 2020.</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660" w:firstLine="523"/>
        <w:spacing w:after="0" w:line="243"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 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jc w:val="both"/>
        <w:ind w:left="660" w:right="260" w:firstLine="523"/>
        <w:spacing w:after="0" w:line="248" w:lineRule="auto"/>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$1.8517 for Series Seed Preferred, $3.7266 for Series A Preferred, $9.6093 for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line="245" w:lineRule="auto"/>
        <w:rPr>
          <w:sz w:val="20"/>
          <w:szCs w:val="20"/>
          <w:color w:val="auto"/>
        </w:rPr>
      </w:pPr>
      <w:r>
        <w:rPr>
          <w:rFonts w:ascii="Arial" w:cs="Arial" w:eastAsia="Arial" w:hAnsi="Arial"/>
          <w:sz w:val="18"/>
          <w:szCs w:val="18"/>
          <w:color w:val="auto"/>
        </w:rPr>
        <w:t>Series B Preferred and $ 11.3121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64" w:lineRule="exact"/>
        <w:rPr>
          <w:sz w:val="20"/>
          <w:szCs w:val="20"/>
          <w:color w:val="auto"/>
        </w:rPr>
      </w:pPr>
    </w:p>
    <w:p>
      <w:pPr>
        <w:ind w:left="660" w:firstLine="523"/>
        <w:spacing w:after="0" w:line="241"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left="660" w:right="80" w:firstLine="523"/>
        <w:spacing w:after="0" w:line="241"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w:t>
      </w:r>
    </w:p>
    <w:p>
      <w:pPr>
        <w:spacing w:after="0" w:line="1" w:lineRule="exact"/>
        <w:rPr>
          <w:sz w:val="20"/>
          <w:szCs w:val="20"/>
          <w:color w:val="auto"/>
        </w:rPr>
      </w:pPr>
    </w:p>
    <w:p>
      <w:pPr>
        <w:ind w:left="660" w:right="20" w:firstLine="7"/>
        <w:spacing w:after="0"/>
        <w:tabs>
          <w:tab w:leader="none" w:pos="91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closing of a public offering, in which the gross cash proceeds are at least $40,000 and the initial offering price to the public is at least $11.3121 per share (as adjusted for any stock splits, stock dividends, combinations, subdivisions, recapitalizations, reorganizations, reclassifications or the like). At June 30, 2020, the conversion price for each share of Series Seed Preferred, Series A Preferred, Series B Preferred and Series C Preferred is $1.8517, $3.7266, $9.6093 and $11.3121, respectively.</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660" w:right="240" w:firstLine="523"/>
        <w:spacing w:after="0" w:line="276" w:lineRule="auto"/>
        <w:rPr>
          <w:sz w:val="20"/>
          <w:szCs w:val="20"/>
          <w:color w:val="auto"/>
        </w:rPr>
      </w:pPr>
      <w:r>
        <w:rPr>
          <w:rFonts w:ascii="Arial" w:cs="Arial" w:eastAsia="Arial" w:hAnsi="Arial"/>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Protective Provisions: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holders of preferred stock have certain protective provisions.</w:t>
      </w:r>
    </w:p>
    <w:p>
      <w:pPr>
        <w:spacing w:after="0" w:line="104" w:lineRule="exact"/>
        <w:rPr>
          <w:sz w:val="20"/>
          <w:szCs w:val="20"/>
          <w:color w:val="auto"/>
        </w:rPr>
      </w:pPr>
    </w:p>
    <w:p>
      <w:pPr>
        <w:ind w:left="660" w:right="20" w:firstLine="523"/>
        <w:spacing w:after="0" w:line="245" w:lineRule="auto"/>
        <w:rPr>
          <w:sz w:val="20"/>
          <w:szCs w:val="20"/>
          <w:color w:val="auto"/>
        </w:rPr>
      </w:pPr>
      <w:r>
        <w:rPr>
          <w:rFonts w:ascii="Arial" w:cs="Arial" w:eastAsia="Arial" w:hAnsi="Arial"/>
          <w:sz w:val="18"/>
          <w:szCs w:val="18"/>
          <w:color w:val="auto"/>
        </w:rPr>
        <w:t>As long as at least twenty percent (20%) of the shares of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Preferred Stock, or take certain</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240"/>
        <w:spacing w:after="0" w:line="276" w:lineRule="auto"/>
        <w:rPr>
          <w:sz w:val="20"/>
          <w:szCs w:val="20"/>
          <w:color w:val="auto"/>
        </w:rPr>
      </w:pPr>
      <w:r>
        <w:rPr>
          <w:rFonts w:ascii="Arial" w:cs="Arial" w:eastAsia="Arial" w:hAnsi="Arial"/>
          <w:sz w:val="18"/>
          <w:szCs w:val="18"/>
          <w:color w:val="auto"/>
        </w:rPr>
        <w:t>other actions that would alter the rights, preferences, and privileges of Preferred Stock or effect liquidation, dissolution or winding up of the Company.</w:t>
      </w:r>
    </w:p>
    <w:p>
      <w:pPr>
        <w:spacing w:after="0" w:line="37" w:lineRule="exact"/>
        <w:rPr>
          <w:sz w:val="20"/>
          <w:szCs w:val="20"/>
          <w:color w:val="auto"/>
        </w:rPr>
      </w:pPr>
    </w:p>
    <w:p>
      <w:pPr>
        <w:ind w:left="660" w:right="10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A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A Preferred without first obtaining approval of a majority of the outstanding shares of Series A Preferred.</w:t>
      </w:r>
    </w:p>
    <w:p>
      <w:pPr>
        <w:spacing w:after="0" w:line="66" w:lineRule="exact"/>
        <w:rPr>
          <w:sz w:val="20"/>
          <w:szCs w:val="20"/>
          <w:color w:val="auto"/>
        </w:rPr>
      </w:pPr>
    </w:p>
    <w:p>
      <w:pPr>
        <w:ind w:left="660" w:right="10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B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B Preferred without first obtaining approval of a majority of the outstanding shares of Series B Preferred.</w:t>
      </w:r>
    </w:p>
    <w:p>
      <w:pPr>
        <w:spacing w:after="0" w:line="66" w:lineRule="exact"/>
        <w:rPr>
          <w:sz w:val="20"/>
          <w:szCs w:val="20"/>
          <w:color w:val="auto"/>
        </w:rPr>
      </w:pPr>
    </w:p>
    <w:p>
      <w:pPr>
        <w:ind w:left="660" w:right="100" w:firstLine="523"/>
        <w:spacing w:after="0" w:line="241" w:lineRule="auto"/>
        <w:rPr>
          <w:sz w:val="20"/>
          <w:szCs w:val="20"/>
          <w:color w:val="auto"/>
        </w:rPr>
      </w:pPr>
      <w:r>
        <w:rPr>
          <w:rFonts w:ascii="Arial" w:cs="Arial" w:eastAsia="Arial" w:hAnsi="Arial"/>
          <w:sz w:val="18"/>
          <w:szCs w:val="18"/>
          <w:color w:val="auto"/>
        </w:rPr>
        <w:t>As long as at least twenty percent (20%) of the shares of Series C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C Preferred or effect liquidation, dissolution or winding up of the Company, unless each share of Series C Preferred receives at least the original issue price of $11.3121 in any such transaction, without first obtaining approval of a majority of the outstanding shares of Series C Preferred.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Common Stock</w:t>
      </w:r>
    </w:p>
    <w:p>
      <w:pPr>
        <w:spacing w:after="0" w:line="104" w:lineRule="exact"/>
        <w:rPr>
          <w:sz w:val="20"/>
          <w:szCs w:val="20"/>
          <w:color w:val="auto"/>
        </w:rPr>
      </w:pPr>
    </w:p>
    <w:p>
      <w:pPr>
        <w:ind w:left="120" w:right="820" w:firstLine="551"/>
        <w:spacing w:after="0" w:line="276" w:lineRule="auto"/>
        <w:rPr>
          <w:sz w:val="20"/>
          <w:szCs w:val="20"/>
          <w:color w:val="auto"/>
        </w:rPr>
      </w:pPr>
      <w:r>
        <w:rPr>
          <w:rFonts w:ascii="Arial" w:cs="Arial" w:eastAsia="Arial" w:hAnsi="Arial"/>
          <w:sz w:val="18"/>
          <w:szCs w:val="18"/>
          <w:color w:val="auto"/>
        </w:rPr>
        <w:t>The Company is authorized to issue up to 33,250,829 shares of common stock with a par value of $0.00001 per share. At December 31, 2019 and June 30, 2020, there were 3,046,200 and 3,046,200 shares issued and outstanding, respectively.</w:t>
      </w:r>
    </w:p>
    <w:p>
      <w:pPr>
        <w:spacing w:after="0" w:line="145"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June 30, 2020, no dividends on common stock had been declared by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and June 30, 2020, the Company had reserved shares of common stock for issuance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4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77"/>
        </w:trPr>
        <w:tc>
          <w:tcPr>
            <w:tcW w:w="4480" w:type="dxa"/>
            <w:vAlign w:val="bottom"/>
          </w:tcPr>
          <w:p>
            <w:pPr>
              <w:spacing w:after="0"/>
              <w:rPr>
                <w:sz w:val="15"/>
                <w:szCs w:val="15"/>
                <w:color w:val="auto"/>
              </w:rPr>
            </w:pPr>
          </w:p>
        </w:tc>
        <w:tc>
          <w:tcPr>
            <w:tcW w:w="512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outstanding</w:t>
            </w:r>
          </w:p>
        </w:tc>
        <w:tc>
          <w:tcPr>
            <w:tcW w:w="4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52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2,767,868</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3,922,612</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issued and outstanding</w:t>
            </w:r>
          </w:p>
        </w:tc>
        <w:tc>
          <w:tcPr>
            <w:tcW w:w="5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40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1,530,523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375,711</w:t>
            </w:r>
          </w:p>
        </w:tc>
        <w:tc>
          <w:tcPr>
            <w:tcW w:w="80" w:type="dxa"/>
            <w:vAlign w:val="bottom"/>
          </w:tcPr>
          <w:p>
            <w:pPr>
              <w:spacing w:after="0"/>
              <w:rPr>
                <w:sz w:val="17"/>
                <w:szCs w:val="17"/>
                <w:color w:val="auto"/>
              </w:rPr>
            </w:pPr>
          </w:p>
        </w:tc>
      </w:tr>
      <w:tr>
        <w:trPr>
          <w:trHeight w:val="27"/>
        </w:trPr>
        <w:tc>
          <w:tcPr>
            <w:tcW w:w="4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0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27,175,437</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27,175,369</w:t>
            </w:r>
          </w:p>
        </w:tc>
      </w:tr>
      <w:tr>
        <w:trPr>
          <w:trHeight w:val="20"/>
        </w:trPr>
        <w:tc>
          <w:tcPr>
            <w:tcW w:w="4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4480" w:type="dxa"/>
            <w:vAlign w:val="bottom"/>
          </w:tcPr>
          <w:p>
            <w:pPr>
              <w:spacing w:after="0"/>
              <w:rPr>
                <w:sz w:val="24"/>
                <w:szCs w:val="24"/>
                <w:color w:val="auto"/>
              </w:rPr>
            </w:pPr>
          </w:p>
        </w:tc>
        <w:tc>
          <w:tcPr>
            <w:tcW w:w="5280" w:type="dxa"/>
            <w:vAlign w:val="bottom"/>
            <w:gridSpan w:val="3"/>
          </w:tcPr>
          <w:p>
            <w:pPr>
              <w:jc w:val="right"/>
              <w:ind w:right="4080"/>
              <w:spacing w:after="0"/>
              <w:rPr>
                <w:sz w:val="20"/>
                <w:szCs w:val="20"/>
                <w:color w:val="auto"/>
              </w:rPr>
            </w:pPr>
            <w:r>
              <w:rPr>
                <w:rFonts w:ascii="Arial" w:cs="Arial" w:eastAsia="Arial" w:hAnsi="Arial"/>
                <w:sz w:val="18"/>
                <w:szCs w:val="18"/>
                <w:color w:val="auto"/>
              </w:rPr>
              <w:t>F-38</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 Stock Plan</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2013, the Company adopted the 2013 Stock Plan (the “Plan”). As of June 30, 2020, there were 4,437,507 shares of common stock authorized and 375,711 shares available for issuance under the Plan. Under the Plan, the Company may issue shares of common stock and options to purchase common stock to employees and consultants. Options granted under the Plan may be Incentive Stock Options or Non-statutory Stock Options, as determined by the Administrator at the time of grant. Stock Purchase Rights may also be granted under the Plan. The term shall be no more than ten years from the date of grant thereof. In the case of an Incentive Stock Option granted to an optionee who, at the time the option is granted, owns stock representing more than 10% of the voting power of all classes of stock of the Company or any Parent or Subsidiary, the term of the option shall be five years from the date of grant or such shorter term as may be provided in the option Agreement.</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the case of an Incentive Stock Option, (i) granted to an employee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employee, the per share exercise price shall be no less than 100% of the Fair Market Value per Share on the date of grant. In the case of a Non-statutory Stock Option; (i) granted to a Service Provider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service provider, the per share exercise price shall be no less than 100% of the Fair Market Value per Share on the date of grant. Notwithstanding the foregoing, options may be granted with a per share exercise price other than as required above pursuant to a merger or other corporate transaction.</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5" w:right="49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options may include provisions permitting exercise of the option prior to full vesting. Any unvested shares so purchased shall be subject to repurchase by the Company at the original exercise price of the option.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Available</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82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 Grant</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December 31, 2018</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697,042</w:t>
            </w: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2,685,615</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w w:val="91"/>
              </w:rPr>
              <w:t>2.00</w:t>
            </w: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7.88</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949,650</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(249,758)</w:t>
            </w: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249,758</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3.53</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133,589</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(133,589)</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2.95</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(33,916)</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3.00</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Balances,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1,530,523</w:t>
            </w:r>
          </w:p>
        </w:tc>
        <w:tc>
          <w:tcPr>
            <w:tcW w:w="5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2,767,868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1"/>
              </w:rPr>
              <w:t>2.05</w:t>
            </w:r>
          </w:p>
        </w:tc>
        <w:tc>
          <w:tcPr>
            <w:tcW w:w="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issuance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(1,191,563)</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1,191,563</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4.00</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 / cancelled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36,751</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(36,819)</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1.37</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line="202" w:lineRule="exact"/>
              <w:rPr>
                <w:sz w:val="20"/>
                <w:szCs w:val="20"/>
                <w:color w:val="auto"/>
              </w:rPr>
            </w:pPr>
            <w:r>
              <w:rPr>
                <w:rFonts w:ascii="Arial" w:cs="Arial" w:eastAsia="Arial" w:hAnsi="Arial"/>
                <w:sz w:val="18"/>
                <w:szCs w:val="18"/>
                <w:color w:val="auto"/>
              </w:rPr>
              <w:t>Options exercised (unaudited)</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June 30, 2020 (unaudited)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375,711</w:t>
            </w:r>
          </w:p>
        </w:tc>
        <w:tc>
          <w:tcPr>
            <w:tcW w:w="5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3,922,612</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2.66</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7.52</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1,877,381</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1.68</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6.59</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60"/>
              <w:spacing w:after="0"/>
              <w:rPr>
                <w:sz w:val="20"/>
                <w:szCs w:val="20"/>
                <w:color w:val="auto"/>
              </w:rPr>
            </w:pPr>
            <w:r>
              <w:rPr>
                <w:rFonts w:ascii="Arial" w:cs="Arial" w:eastAsia="Arial" w:hAnsi="Arial"/>
                <w:sz w:val="18"/>
                <w:szCs w:val="18"/>
                <w:color w:val="auto"/>
              </w:rPr>
              <w:t>Exercisable</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auto"/>
              </w:rPr>
              <w:t>1.79</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2,186,065</w:t>
            </w:r>
          </w:p>
        </w:tc>
        <w:tc>
          <w:tcPr>
            <w:tcW w:w="2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June 30, 2020</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360"/>
              <w:spacing w:after="0" w:line="202" w:lineRule="exact"/>
              <w:rPr>
                <w:sz w:val="20"/>
                <w:szCs w:val="20"/>
                <w:color w:val="auto"/>
              </w:rPr>
            </w:pPr>
            <w:r>
              <w:rPr>
                <w:rFonts w:ascii="Arial" w:cs="Arial" w:eastAsia="Arial" w:hAnsi="Arial"/>
                <w:sz w:val="18"/>
                <w:szCs w:val="18"/>
                <w:color w:val="auto"/>
              </w:rPr>
              <w:t>Vested (unaudited)</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2,140,224</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1.79</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6.27</w:t>
            </w:r>
          </w:p>
        </w:tc>
        <w:tc>
          <w:tcPr>
            <w:tcW w:w="3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Exercisable (unaudited)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2,324,779</w:t>
            </w:r>
          </w:p>
        </w:tc>
        <w:tc>
          <w:tcPr>
            <w:tcW w:w="3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1.90</w:t>
            </w:r>
          </w:p>
        </w:tc>
        <w:tc>
          <w:tcPr>
            <w:tcW w:w="13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6.36</w:t>
            </w: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aggregate intrinsic value of options vested and expected to vest and exercisable as of June 30, 2020 is calculated based on the difference between the exercise price and the current fair value of our common stock. The intrinsic value of options exercised in 2019 was $20. There were no stock option exercises in 2020.</w:t>
      </w:r>
    </w:p>
    <w:p>
      <w:pPr>
        <w:spacing w:after="0" w:line="16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At June 30, 2020, the total compensation cost related to nonvested awards not yet recognized is $3,694. The weighted-average period over which the nonvested awards is expected to be recognized is 2.9 years.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Stock options granted generally vest over two to four years. The unrecognized compensation cost as of June 30, 2020 is expected to be recognized over a weighted-average amortization period of 2.9 years. No income tax benefits have been recognized relating to stock-based compensation expenses and no tax benefits have been realized from exercised stock options.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Borders>
              <w:bottom w:val="single" w:sz="8" w:color="auto"/>
            </w:tcBorders>
          </w:tcPr>
          <w:p>
            <w:pPr>
              <w:spacing w:after="0"/>
              <w:rPr>
                <w:sz w:val="15"/>
                <w:szCs w:val="15"/>
                <w:color w:val="auto"/>
              </w:rPr>
            </w:pPr>
          </w:p>
        </w:tc>
      </w:tr>
      <w:tr>
        <w:trPr>
          <w:trHeight w:val="140"/>
        </w:trPr>
        <w:tc>
          <w:tcPr>
            <w:tcW w:w="7160" w:type="dxa"/>
            <w:vAlign w:val="bottom"/>
          </w:tcPr>
          <w:p>
            <w:pPr>
              <w:spacing w:after="0"/>
              <w:rPr>
                <w:sz w:val="12"/>
                <w:szCs w:val="12"/>
                <w:color w:val="auto"/>
              </w:rPr>
            </w:pPr>
          </w:p>
        </w:tc>
        <w:tc>
          <w:tcPr>
            <w:tcW w:w="198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rPr>
              <w:t>June 30, 2019</w:t>
            </w:r>
          </w:p>
        </w:tc>
        <w:tc>
          <w:tcPr>
            <w:tcW w:w="1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June 30, 2020</w:t>
            </w:r>
          </w:p>
        </w:tc>
      </w:tr>
      <w:tr>
        <w:trPr>
          <w:trHeight w:val="177"/>
        </w:trPr>
        <w:tc>
          <w:tcPr>
            <w:tcW w:w="7160" w:type="dxa"/>
            <w:vAlign w:val="bottom"/>
          </w:tcPr>
          <w:p>
            <w:pPr>
              <w:spacing w:after="0"/>
              <w:rPr>
                <w:sz w:val="15"/>
                <w:szCs w:val="15"/>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 average grant-date fair value of common stock</w:t>
            </w:r>
          </w:p>
        </w:tc>
        <w:tc>
          <w:tcPr>
            <w:tcW w:w="1860" w:type="dxa"/>
            <w:vAlign w:val="bottom"/>
            <w:tcBorders>
              <w:top w:val="single" w:sz="8" w:color="auto"/>
            </w:tcBorders>
            <w:gridSpan w:val="2"/>
            <w:shd w:val="clear" w:color="auto" w:fill="CCEEFF"/>
          </w:tcPr>
          <w:p>
            <w:pPr>
              <w:jc w:val="right"/>
              <w:ind w:right="615"/>
              <w:spacing w:after="0" w:line="196" w:lineRule="exact"/>
              <w:rPr>
                <w:sz w:val="20"/>
                <w:szCs w:val="20"/>
                <w:color w:val="auto"/>
              </w:rPr>
            </w:pPr>
            <w:r>
              <w:rPr>
                <w:rFonts w:ascii="Arial" w:cs="Arial" w:eastAsia="Arial" w:hAnsi="Arial"/>
                <w:sz w:val="18"/>
                <w:szCs w:val="18"/>
                <w:color w:val="auto"/>
              </w:rPr>
              <w:t>$3.53</w:t>
            </w:r>
          </w:p>
        </w:tc>
        <w:tc>
          <w:tcPr>
            <w:tcW w:w="12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gridSpan w:val="2"/>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$4.00</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1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2.51%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 1.51%</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6.37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6.40</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60" w:type="dxa"/>
            <w:vAlign w:val="bottom"/>
            <w:gridSpan w:val="2"/>
          </w:tcPr>
          <w:p>
            <w:pPr>
              <w:jc w:val="right"/>
              <w:ind w:right="715"/>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880" w:type="dxa"/>
            <w:vAlign w:val="bottom"/>
            <w:gridSpan w:val="2"/>
          </w:tcPr>
          <w:p>
            <w:pPr>
              <w:jc w:val="right"/>
              <w:ind w:right="730"/>
              <w:spacing w:after="0" w:line="202" w:lineRule="exact"/>
              <w:rPr>
                <w:sz w:val="20"/>
                <w:szCs w:val="20"/>
                <w:color w:val="auto"/>
              </w:rPr>
            </w:pPr>
            <w:r>
              <w:rPr>
                <w:rFonts w:ascii="Arial" w:cs="Arial" w:eastAsia="Arial" w:hAnsi="Arial"/>
                <w:sz w:val="18"/>
                <w:szCs w:val="18"/>
                <w:color w:val="auto"/>
              </w:rPr>
              <w:t>0%</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72.33%</w:t>
            </w: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72.64%</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70.70%</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73.85%</w:t>
            </w:r>
          </w:p>
        </w:tc>
      </w:tr>
    </w:tbl>
    <w:p>
      <w:pPr>
        <w:spacing w:after="0" w:line="85" w:lineRule="exact"/>
        <w:rPr>
          <w:sz w:val="20"/>
          <w:szCs w:val="20"/>
          <w:color w:val="auto"/>
        </w:rPr>
      </w:pPr>
    </w:p>
    <w:p>
      <w:pPr>
        <w:jc w:val="both"/>
        <w:ind w:left="660" w:right="660" w:firstLine="523"/>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uses the simplified method to calculate expected term described in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Commission’s Staff Accounting Bulletin No. 107, which takes into account vesting term and expiration date of the options.</w:t>
      </w:r>
    </w:p>
    <w:p>
      <w:pPr>
        <w:spacing w:after="0" w:line="56" w:lineRule="exact"/>
        <w:rPr>
          <w:sz w:val="20"/>
          <w:szCs w:val="20"/>
          <w:color w:val="auto"/>
        </w:rPr>
      </w:pPr>
    </w:p>
    <w:p>
      <w:pPr>
        <w:ind w:left="660" w:right="640" w:firstLine="523"/>
        <w:spacing w:after="0" w:line="276"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based on an average of the historical volatilities of comparable publicly traded companies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37" w:lineRule="exact"/>
        <w:rPr>
          <w:sz w:val="20"/>
          <w:szCs w:val="20"/>
          <w:color w:val="auto"/>
        </w:rPr>
      </w:pPr>
    </w:p>
    <w:p>
      <w:pPr>
        <w:ind w:left="660" w:right="560" w:firstLine="523"/>
        <w:spacing w:after="0" w:line="276"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rate is based on the U.S. Treasury yields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37" w:lineRule="exact"/>
        <w:rPr>
          <w:sz w:val="20"/>
          <w:szCs w:val="20"/>
          <w:color w:val="auto"/>
        </w:rPr>
      </w:pPr>
    </w:p>
    <w:p>
      <w:pPr>
        <w:ind w:left="660" w:right="60" w:firstLine="52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Company has never declared or paid any cash dividends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used an expected dividend yield of zero in the valuation model.</w:t>
      </w:r>
    </w:p>
    <w:p>
      <w:pPr>
        <w:spacing w:after="0" w:line="37"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During the year ended December 31, 2018, the Company granted 119,012 stock options at a grant-date fair value of $2.58 per share to an executive that vests only upon the attainment of certain liquidity events. The Company does not believe that it is probable that the performance condition will be satisfied and did not record any stock compensation expense in the years ended December 31, 2018 and 2019 nor in the six-month period ended June 30, 2020 for this option grant. The unrecognized compensation cost associated with this award was $305, a portion of which will be cumulatively caught-up upon achievement of the liquidity event.</w:t>
      </w:r>
    </w:p>
    <w:p>
      <w:pPr>
        <w:spacing w:after="0" w:line="172"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Stock-based compensation expense recorded under ASC 718 (and under ASC 718 and ASC 505 in 2019, prior to the adoption of ASU 2018-07) related to stock options granted was allocated to research and development and general and administrative expense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41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rPr>
              <w:t>June 30,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7"/>
              <w:spacing w:after="0" w:line="141"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r>
      <w:tr>
        <w:trPr>
          <w:trHeight w:val="162"/>
        </w:trPr>
        <w:tc>
          <w:tcPr>
            <w:tcW w:w="4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7"/>
        </w:trPr>
        <w:tc>
          <w:tcPr>
            <w:tcW w:w="4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4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41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4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r>
      <w:tr>
        <w:trPr>
          <w:trHeight w:val="203"/>
        </w:trPr>
        <w:tc>
          <w:tcPr>
            <w:tcW w:w="4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4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w:t>
            </w: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679</w:t>
            </w:r>
          </w:p>
        </w:tc>
      </w:tr>
      <w:tr>
        <w:trPr>
          <w:trHeight w:val="20"/>
        </w:trPr>
        <w:tc>
          <w:tcPr>
            <w:tcW w:w="4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120" w:type="dxa"/>
            <w:vAlign w:val="bottom"/>
          </w:tcPr>
          <w:p>
            <w:pPr>
              <w:spacing w:after="0"/>
              <w:rPr>
                <w:sz w:val="24"/>
                <w:szCs w:val="24"/>
                <w:color w:val="auto"/>
              </w:rPr>
            </w:pPr>
          </w:p>
        </w:tc>
        <w:tc>
          <w:tcPr>
            <w:tcW w:w="4480" w:type="dxa"/>
            <w:vAlign w:val="bottom"/>
            <w:gridSpan w:val="2"/>
          </w:tcPr>
          <w:p>
            <w:pPr>
              <w:jc w:val="right"/>
              <w:ind w:right="2836"/>
              <w:spacing w:after="0"/>
              <w:rPr>
                <w:sz w:val="20"/>
                <w:szCs w:val="20"/>
                <w:color w:val="auto"/>
              </w:rPr>
            </w:pPr>
            <w:r>
              <w:rPr>
                <w:rFonts w:ascii="Arial" w:cs="Arial" w:eastAsia="Arial" w:hAnsi="Arial"/>
                <w:sz w:val="18"/>
                <w:szCs w:val="18"/>
                <w:color w:val="auto"/>
              </w:rPr>
              <w:t>F-41</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Income Taxes</w:t>
      </w:r>
    </w:p>
    <w:p>
      <w:pPr>
        <w:spacing w:after="0" w:line="10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During the six months ended June 30, 2019 and 2020, the Company recorded a full valuation allowance on federal and state deferred tax assets since management does not forecast the Company to be in a taxable position in the near future.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Net Loss per Share and Unaudited Pro Forma Net Loss Per Share</w:t>
      </w:r>
    </w:p>
    <w:p>
      <w:pPr>
        <w:spacing w:after="0" w:line="104"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480" w:type="dxa"/>
            <w:vAlign w:val="bottom"/>
          </w:tcPr>
          <w:p>
            <w:pPr>
              <w:spacing w:after="0"/>
              <w:rPr>
                <w:sz w:val="15"/>
                <w:szCs w:val="15"/>
                <w:color w:val="auto"/>
              </w:rPr>
            </w:pPr>
          </w:p>
        </w:tc>
        <w:tc>
          <w:tcPr>
            <w:tcW w:w="25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8480" w:type="dxa"/>
            <w:vAlign w:val="bottom"/>
          </w:tcPr>
          <w:p>
            <w:pPr>
              <w:spacing w:after="0"/>
              <w:rPr>
                <w:sz w:val="12"/>
                <w:szCs w:val="12"/>
                <w:color w:val="auto"/>
              </w:rPr>
            </w:pPr>
          </w:p>
        </w:tc>
        <w:tc>
          <w:tcPr>
            <w:tcW w:w="1280" w:type="dxa"/>
            <w:vAlign w:val="bottom"/>
            <w:tcBorders>
              <w:top w:val="single" w:sz="8" w:color="auto"/>
            </w:tcBorders>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w w:val="99"/>
              </w:rPr>
              <w:t>June 30,</w:t>
            </w:r>
          </w:p>
        </w:tc>
        <w:tc>
          <w:tcPr>
            <w:tcW w:w="11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r>
      <w:tr>
        <w:trPr>
          <w:trHeight w:val="162"/>
        </w:trPr>
        <w:tc>
          <w:tcPr>
            <w:tcW w:w="84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77"/>
        </w:trPr>
        <w:tc>
          <w:tcPr>
            <w:tcW w:w="8480" w:type="dxa"/>
            <w:vAlign w:val="bottom"/>
          </w:tcPr>
          <w:p>
            <w:pPr>
              <w:spacing w:after="0"/>
              <w:rPr>
                <w:sz w:val="15"/>
                <w:szCs w:val="15"/>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(as converted)</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17,396,640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2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2,698,543</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3,922,612</w:t>
            </w:r>
          </w:p>
        </w:tc>
      </w:tr>
      <w:tr>
        <w:trPr>
          <w:trHeight w:val="209"/>
        </w:trPr>
        <w:tc>
          <w:tcPr>
            <w:tcW w:w="848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20,105,983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26,799,658</w:t>
            </w:r>
          </w:p>
        </w:tc>
        <w:tc>
          <w:tcPr>
            <w:tcW w:w="80" w:type="dxa"/>
            <w:vAlign w:val="bottom"/>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the Company’s convertible preferred stock nor restricted stock subject to future vesting participates in losses.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8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99"/>
              </w:rPr>
              <w:t>June 30,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7"/>
              <w:spacing w:after="0" w:line="141"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r>
      <w:tr>
        <w:trPr>
          <w:trHeight w:val="162"/>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842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(12,129)</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0"/>
        </w:trPr>
        <w:tc>
          <w:tcPr>
            <w:tcW w:w="842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shares—basic and diluted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3,024,097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3,046,200</w:t>
            </w:r>
          </w:p>
        </w:tc>
        <w:tc>
          <w:tcPr>
            <w:tcW w:w="120" w:type="dxa"/>
            <w:vAlign w:val="bottom"/>
          </w:tcPr>
          <w:p>
            <w:pPr>
              <w:spacing w:after="0"/>
              <w:rPr>
                <w:sz w:val="18"/>
                <w:szCs w:val="18"/>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(4.01)</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w:t>
            </w:r>
          </w:p>
        </w:tc>
      </w:tr>
    </w:tbl>
    <w:p>
      <w:pPr>
        <w:spacing w:after="0" w:line="193" w:lineRule="exact"/>
        <w:rPr>
          <w:sz w:val="20"/>
          <w:szCs w:val="20"/>
          <w:color w:val="auto"/>
        </w:rPr>
      </w:pPr>
    </w:p>
    <w:p>
      <w:pPr>
        <w:ind w:left="120" w:right="160" w:firstLine="551"/>
        <w:spacing w:after="0" w:line="277" w:lineRule="auto"/>
        <w:rPr>
          <w:sz w:val="20"/>
          <w:szCs w:val="20"/>
          <w:color w:val="auto"/>
        </w:rPr>
      </w:pPr>
      <w:r>
        <w:rPr>
          <w:rFonts w:ascii="Arial" w:cs="Arial" w:eastAsia="Arial" w:hAnsi="Arial"/>
          <w:sz w:val="17"/>
          <w:szCs w:val="17"/>
          <w:color w:val="auto"/>
        </w:rPr>
        <w:t>The unaudited pro forma basic and diluted net loss per share of common stock has been prepared to give effect to the conversion of all outstanding shares of convertible preferred stock into shares of common stock as if such conversion had occurred at January 1, 2020, inclusive of 5,321,864 shares of common stock issuable upon the conversion of Series D Preferred Stock issued in July 2020.</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For the Six</w:t>
            </w:r>
          </w:p>
        </w:tc>
      </w:tr>
      <w:tr>
        <w:trPr>
          <w:trHeight w:val="162"/>
        </w:trPr>
        <w:tc>
          <w:tcPr>
            <w:tcW w:w="9880" w:type="dxa"/>
            <w:vAlign w:val="bottom"/>
          </w:tcPr>
          <w:p>
            <w:pPr>
              <w:spacing w:after="0"/>
              <w:rPr>
                <w:sz w:val="14"/>
                <w:szCs w:val="14"/>
                <w:color w:val="auto"/>
              </w:rPr>
            </w:pPr>
          </w:p>
        </w:tc>
        <w:tc>
          <w:tcPr>
            <w:tcW w:w="114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rPr>
              <w:t>Months Ended</w:t>
            </w:r>
          </w:p>
        </w:tc>
      </w:tr>
      <w:tr>
        <w:trPr>
          <w:trHeight w:val="162"/>
        </w:trPr>
        <w:tc>
          <w:tcPr>
            <w:tcW w:w="9880" w:type="dxa"/>
            <w:vAlign w:val="bottom"/>
          </w:tcPr>
          <w:p>
            <w:pPr>
              <w:spacing w:after="0"/>
              <w:rPr>
                <w:sz w:val="14"/>
                <w:szCs w:val="14"/>
                <w:color w:val="auto"/>
              </w:rPr>
            </w:pPr>
          </w:p>
        </w:tc>
        <w:tc>
          <w:tcPr>
            <w:tcW w:w="114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9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9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9880" w:type="dxa"/>
            <w:vAlign w:val="bottom"/>
          </w:tcPr>
          <w:p>
            <w:pPr>
              <w:spacing w:after="0"/>
              <w:rPr>
                <w:sz w:val="20"/>
                <w:szCs w:val="20"/>
                <w:color w:val="auto"/>
              </w:rPr>
            </w:pPr>
            <w:r>
              <w:rPr>
                <w:rFonts w:ascii="Arial" w:cs="Arial" w:eastAsia="Arial" w:hAnsi="Arial"/>
                <w:sz w:val="18"/>
                <w:szCs w:val="18"/>
                <w:color w:val="auto"/>
              </w:rPr>
              <w:t>Weighted-average number of shares—basic and diluted</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3,046,200</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Assumed weighted-average effect of conversion of convertible preferred stock (unaudited)</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9"/>
              </w:rPr>
              <w:t>28,188,110</w:t>
            </w:r>
          </w:p>
        </w:tc>
      </w:tr>
      <w:tr>
        <w:trPr>
          <w:trHeight w:val="217"/>
        </w:trPr>
        <w:tc>
          <w:tcPr>
            <w:tcW w:w="9880" w:type="dxa"/>
            <w:vAlign w:val="bottom"/>
          </w:tcPr>
          <w:p>
            <w:pPr>
              <w:spacing w:after="0"/>
              <w:rPr>
                <w:sz w:val="20"/>
                <w:szCs w:val="20"/>
                <w:color w:val="auto"/>
              </w:rPr>
            </w:pPr>
            <w:r>
              <w:rPr>
                <w:rFonts w:ascii="Arial" w:cs="Arial" w:eastAsia="Arial" w:hAnsi="Arial"/>
                <w:sz w:val="18"/>
                <w:szCs w:val="18"/>
                <w:color w:val="auto"/>
              </w:rPr>
              <w:t>Pro Forma weighted-average number of shares—basic and diluted</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31,234,310</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(0.49)</w:t>
            </w:r>
          </w:p>
        </w:tc>
      </w:tr>
      <w:tr>
        <w:trPr>
          <w:trHeight w:val="368"/>
        </w:trPr>
        <w:tc>
          <w:tcPr>
            <w:tcW w:w="9880" w:type="dxa"/>
            <w:vAlign w:val="bottom"/>
          </w:tcPr>
          <w:p>
            <w:pPr>
              <w:ind w:left="5320"/>
              <w:spacing w:after="0"/>
              <w:rPr>
                <w:sz w:val="20"/>
                <w:szCs w:val="20"/>
                <w:color w:val="auto"/>
              </w:rPr>
            </w:pPr>
            <w:r>
              <w:rPr>
                <w:rFonts w:ascii="Arial" w:cs="Arial" w:eastAsia="Arial" w:hAnsi="Arial"/>
                <w:sz w:val="18"/>
                <w:szCs w:val="18"/>
                <w:color w:val="auto"/>
              </w:rPr>
              <w:t>F-42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Related Parties</w:t>
      </w:r>
    </w:p>
    <w:p>
      <w:pPr>
        <w:spacing w:after="0" w:line="104" w:lineRule="exact"/>
        <w:rPr>
          <w:sz w:val="20"/>
          <w:szCs w:val="20"/>
          <w:color w:val="auto"/>
        </w:rPr>
      </w:pPr>
    </w:p>
    <w:p>
      <w:pPr>
        <w:jc w:val="both"/>
        <w:ind w:left="120" w:right="160" w:firstLine="551"/>
        <w:spacing w:after="0" w:line="255" w:lineRule="auto"/>
        <w:rPr>
          <w:sz w:val="20"/>
          <w:szCs w:val="20"/>
          <w:color w:val="auto"/>
        </w:rPr>
      </w:pPr>
      <w:r>
        <w:rPr>
          <w:rFonts w:ascii="Arial" w:cs="Arial" w:eastAsia="Arial" w:hAnsi="Arial"/>
          <w:sz w:val="18"/>
          <w:szCs w:val="18"/>
          <w:color w:val="auto"/>
        </w:rPr>
        <w:t>The Company has a consulting agreement with a member of the Board of Directors. Consulting fees paid in the six months ended June 30, 2019 and 2020 was $50 and $56, respectively. There were no amounts owed under the consulting agreement at December 31, 2019 or June 30, 2020.</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12. Subsequent Events</w:t>
      </w:r>
    </w:p>
    <w:p>
      <w:pPr>
        <w:spacing w:after="0" w:line="104"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Subsequent events have been evaluated through July 31, 2020, which is the date the financial statements were issued. In connection with the reissuance of these unaudited interim financial statements to reflect the 5.2651-for-1 reverse stock split as described in Note 2, the Company has evaluated subsequent events through September 21, 2020, the date the unaudited interim financial statements were available to be reissued.</w:t>
      </w:r>
    </w:p>
    <w:p>
      <w:pPr>
        <w:spacing w:after="0" w:line="17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July 2020, the Company issued 5,321,864 shares of Series D Preferred Stock at a price of $13.1533 per share, resulting in gross proceeds of $70,000. In July 2020, the Company amended its certificate of incorporation such that it is now authorized to issue 66,516,771 shares of capital stock, including 38,317,839 shares of common stock, 1,657,903 shares of Series Seed Preferred Stock, 8,076,985 shares of Series A Preferred Stock, 7,672,560 shares of Series B Preferred Stock, 5,469,611 shares of Series C Preferred Stock and 5,321,870 shares of Series D Preferred Stock.</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auto"/>
        </w:rPr>
        <w:t>11,765,000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350520</wp:posOffset>
            </wp:positionV>
            <wp:extent cx="3394710" cy="660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9471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745490</wp:posOffset>
            </wp:positionV>
            <wp:extent cx="11144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316865</wp:posOffset>
            </wp:positionV>
            <wp:extent cx="11144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tabs>
          <w:tab w:leader="none" w:pos="5040" w:val="left"/>
          <w:tab w:leader="none" w:pos="7720" w:val="left"/>
          <w:tab w:leader="none" w:pos="954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5"/>
          <w:szCs w:val="25"/>
          <w:b w:val="1"/>
          <w:bCs w:val="1"/>
          <w:color w:val="auto"/>
        </w:rPr>
        <w:t>Cowen</w:t>
      </w:r>
      <w:r>
        <w:rPr>
          <w:sz w:val="20"/>
          <w:szCs w:val="20"/>
          <w:color w:val="auto"/>
        </w:rPr>
        <w:tab/>
      </w:r>
      <w:r>
        <w:rPr>
          <w:rFonts w:ascii="Arial" w:cs="Arial" w:eastAsia="Arial" w:hAnsi="Arial"/>
          <w:sz w:val="25"/>
          <w:szCs w:val="25"/>
          <w:b w:val="1"/>
          <w:bCs w:val="1"/>
          <w:color w:val="auto"/>
        </w:rPr>
        <w:t>Evercore 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748030</wp:posOffset>
            </wp:positionV>
            <wp:extent cx="11144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firstLine="551"/>
        <w:spacing w:after="0" w:line="254"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524510</wp:posOffset>
            </wp:positionV>
            <wp:extent cx="6995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584200</wp:posOffset>
            </wp:positionV>
            <wp:extent cx="699516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type w:val="continuous"/>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04"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 registration fee, the FINRA filing fee and the Nasdaq listing fee.</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r>
      <w:tr>
        <w:trPr>
          <w:trHeight w:val="177"/>
        </w:trPr>
        <w:tc>
          <w:tcPr>
            <w:tcW w:w="9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 be Paid</w:t>
            </w:r>
          </w:p>
        </w:tc>
      </w:tr>
      <w:tr>
        <w:trPr>
          <w:trHeight w:val="196"/>
        </w:trPr>
        <w:tc>
          <w:tcPr>
            <w:tcW w:w="9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31,611</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37,031</w:t>
            </w: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listing fee</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210,000</w:t>
            </w: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4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500,000</w:t>
            </w: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1,585,000</w:t>
            </w: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4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800,000</w:t>
            </w: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Miscellaneous expenses</w:t>
            </w:r>
          </w:p>
        </w:tc>
        <w:tc>
          <w:tcPr>
            <w:tcW w:w="14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219,123</w:t>
            </w:r>
          </w:p>
        </w:tc>
      </w:tr>
      <w:tr>
        <w:trPr>
          <w:trHeight w:val="203"/>
        </w:trPr>
        <w:tc>
          <w:tcPr>
            <w:tcW w:w="9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3,386,765</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0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Section 145 of the General Corporation Law of the State of Delaware,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or not opposed to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expected to be in effect immediately prior to the completion of this offering provides for the indemnification of the registrant’s directors and officers to the fullest extent permitted under the DGCL. In addition, the amended and restated bylaws of the registrant to be in effect immediately prior to the completion of this offering require the registrant expected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8" w:lineRule="exact"/>
        <w:rPr>
          <w:sz w:val="20"/>
          <w:szCs w:val="20"/>
          <w:color w:val="auto"/>
        </w:rPr>
      </w:pPr>
    </w:p>
    <w:p>
      <w:pPr>
        <w:ind w:left="120" w:right="140" w:firstLine="551"/>
        <w:spacing w:after="0" w:line="262"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w:t>
      </w:r>
    </w:p>
    <w:p>
      <w:pPr>
        <w:ind w:left="120" w:right="220" w:hanging="4"/>
        <w:spacing w:after="0"/>
        <w:tabs>
          <w:tab w:leader="none" w:pos="33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 (ii) for acts or omissions not in good faith or which involve intentional misconduct or a knowing violation of law, (iii) for payments of unlawful dividends or unlawful stock repurchases or redemptions or (iv) for any transaction from which the director derived an improper personal benefit. The registrant’s amended and restated certificate of incorporation to be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in effect immediately prior to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7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2"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As permitted by the DGCL, the registrant has entered, and intends to continue to enter, into separate indemnification agreements with each of the registrant’s directors and certain of the registrant’s officers that require the registrant, among other things, to indemnify them against certain liabilities that may arise by reason of their status as directors, officers or certain other employees.</w:t>
      </w:r>
    </w:p>
    <w:p>
      <w:pPr>
        <w:spacing w:after="0" w:line="164" w:lineRule="exact"/>
        <w:rPr>
          <w:sz w:val="20"/>
          <w:szCs w:val="20"/>
          <w:color w:val="auto"/>
        </w:rPr>
      </w:pPr>
    </w:p>
    <w:p>
      <w:pPr>
        <w:jc w:val="both"/>
        <w:ind w:left="120" w:right="60" w:firstLine="551"/>
        <w:spacing w:after="0" w:line="257" w:lineRule="auto"/>
        <w:rPr>
          <w:sz w:val="20"/>
          <w:szCs w:val="20"/>
          <w:color w:val="auto"/>
        </w:rPr>
      </w:pPr>
      <w:r>
        <w:rPr>
          <w:rFonts w:ascii="Arial" w:cs="Arial" w:eastAsia="Arial" w:hAnsi="Arial"/>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w:t>
      </w:r>
    </w:p>
    <w:p>
      <w:pPr>
        <w:spacing w:after="0" w:line="2" w:lineRule="exact"/>
        <w:rPr>
          <w:sz w:val="20"/>
          <w:szCs w:val="20"/>
          <w:color w:val="auto"/>
        </w:rPr>
      </w:pPr>
    </w:p>
    <w:p>
      <w:pPr>
        <w:ind w:left="120" w:right="120"/>
        <w:spacing w:after="0" w:line="250" w:lineRule="auto"/>
        <w:rPr>
          <w:sz w:val="20"/>
          <w:szCs w:val="20"/>
          <w:color w:val="auto"/>
        </w:rPr>
      </w:pPr>
      <w:r>
        <w:rPr>
          <w:rFonts w:ascii="Arial" w:cs="Arial" w:eastAsia="Arial" w:hAnsi="Arial"/>
          <w:sz w:val="18"/>
          <w:szCs w:val="18"/>
          <w:color w:val="auto"/>
        </w:rPr>
        <w:t>The coverage provided by these policies may apply whether or not the registrant would have the power to indemnify such person against such liability under the provisions of the DGCL.</w:t>
      </w:r>
    </w:p>
    <w:p>
      <w:pPr>
        <w:spacing w:after="0" w:line="16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These indemnification provisions and the indemnification agreements entered, and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 or Securities Act.</w:t>
      </w:r>
    </w:p>
    <w:p>
      <w:pPr>
        <w:spacing w:after="0" w:line="170" w:lineRule="exact"/>
        <w:rPr>
          <w:sz w:val="20"/>
          <w:szCs w:val="20"/>
          <w:color w:val="auto"/>
        </w:rPr>
      </w:pPr>
    </w:p>
    <w:p>
      <w:pPr>
        <w:ind w:left="120" w:right="400" w:firstLine="551"/>
        <w:spacing w:after="0" w:line="248" w:lineRule="auto"/>
        <w:rPr>
          <w:sz w:val="20"/>
          <w:szCs w:val="20"/>
          <w:color w:val="auto"/>
        </w:rPr>
      </w:pPr>
      <w:r>
        <w:rPr>
          <w:rFonts w:ascii="Arial" w:cs="Arial" w:eastAsia="Arial" w:hAnsi="Arial"/>
          <w:sz w:val="18"/>
          <w:szCs w:val="18"/>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0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2017. No underwriters were involved in the sales and the certificates representing the securities issued and sold contain legends restricting transfer of the securities without registration under the Securities Act or an applicable exemption from registration.</w:t>
      </w:r>
    </w:p>
    <w:p>
      <w:pPr>
        <w:spacing w:after="0" w:line="69" w:lineRule="exact"/>
        <w:rPr>
          <w:sz w:val="20"/>
          <w:szCs w:val="20"/>
          <w:color w:val="auto"/>
        </w:rPr>
      </w:pPr>
    </w:p>
    <w:p>
      <w:pPr>
        <w:ind w:left="1300" w:right="280" w:hanging="644"/>
        <w:spacing w:after="0" w:line="276"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February 2017, we issued and sold an aggregate of 7,672,556 shares of our Series B convertible preferred stock at a purchase price of $9.6093 per share for aggregate proceeds of $73.7 million to a total of nine (9) accredited investors.</w:t>
      </w:r>
    </w:p>
    <w:p>
      <w:pPr>
        <w:spacing w:after="0" w:line="50" w:lineRule="exact"/>
        <w:rPr>
          <w:rFonts w:ascii="Arial" w:cs="Arial" w:eastAsia="Arial" w:hAnsi="Arial"/>
          <w:sz w:val="18"/>
          <w:szCs w:val="18"/>
          <w:color w:val="auto"/>
        </w:rPr>
      </w:pPr>
    </w:p>
    <w:p>
      <w:pPr>
        <w:ind w:left="1300" w:right="160" w:hanging="644"/>
        <w:spacing w:after="0" w:line="255"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November 2019, we issued and sold an aggregate of 5,469,606 shares of our Series C convertible preferred stock at a purchase price of $11.3121 per share for aggregate proceeds of approximately $61.9 million to ten (10) accredited investors.</w:t>
      </w:r>
    </w:p>
    <w:p>
      <w:pPr>
        <w:spacing w:after="0" w:line="69" w:lineRule="exact"/>
        <w:rPr>
          <w:rFonts w:ascii="Arial" w:cs="Arial" w:eastAsia="Arial" w:hAnsi="Arial"/>
          <w:sz w:val="18"/>
          <w:szCs w:val="18"/>
          <w:color w:val="auto"/>
        </w:rPr>
      </w:pPr>
    </w:p>
    <w:p>
      <w:pPr>
        <w:ind w:left="1300" w:right="580" w:hanging="644"/>
        <w:spacing w:after="0" w:line="255"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July 2020, we issued and sold an aggregate of 5,321,864 shares of our Series D convertible preferred stock at a purchase price of $13.1533 per share for aggregate proceeds of approximately $70.0 million to seven (7) accredited investors.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5" w:right="47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300" w:hanging="644"/>
        <w:spacing w:after="0" w:line="248"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From January 2017 through the date hereof, we granted to our employees, directors, consultants and other service providers stock options to purchase an aggregate of 3,238,583 shares of common stock upon the exercise of options under our 2013 Equity Incentive Plan, as amended, or 2013 Plan, at exercise prices per share ranging from $2.95 to $8.53, for an aggregate exercise price of approximately $11.97 million.</w:t>
      </w:r>
    </w:p>
    <w:p>
      <w:pPr>
        <w:spacing w:after="0" w:line="197" w:lineRule="exact"/>
        <w:rPr>
          <w:rFonts w:ascii="Arial" w:cs="Arial" w:eastAsia="Arial" w:hAnsi="Arial"/>
          <w:sz w:val="18"/>
          <w:szCs w:val="18"/>
          <w:color w:val="auto"/>
        </w:rPr>
      </w:pPr>
    </w:p>
    <w:p>
      <w:pPr>
        <w:ind w:left="1300" w:right="80" w:hanging="644"/>
        <w:spacing w:after="0" w:line="255"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From January 2017 through the date hereof, we issued and sold to certain of our employees, directors, consultants and other service providers an aggregate of 33,916 shares of common stock upon the exercise of options under our 2013 Plan at an exercise price per share of $2.95, for an aggregate exercise price of approximately $100,000.</w:t>
      </w:r>
    </w:p>
    <w:p>
      <w:pPr>
        <w:spacing w:after="0" w:line="16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offers, sales and issuances of the securities described in Items 15(a), 15(b) and 15(c)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7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The offers, sales and issuances of the securities described in Items 15(d) and 15(e) were exempt from registration under the Securities Act under either (i) Rule 701 in that the transactions were under compensatory benefit plans and contracts relating to compensation as provided under Rule 701 or (ii) Section 4(a)(2) of the Securities Act as transactions by an issuer not involving any public offering. The recipients of such securities were the registrant’s employees, consultants or directors and received the securities under our 2013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16. EXHIBIT AND FINANCIAL STATEMENT SCHEDULES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Exhibits.</w:t>
      </w:r>
    </w:p>
    <w:p>
      <w:pPr>
        <w:spacing w:after="0" w:line="104" w:lineRule="exact"/>
        <w:rPr>
          <w:sz w:val="20"/>
          <w:szCs w:val="20"/>
          <w:color w:val="auto"/>
        </w:rPr>
      </w:pPr>
    </w:p>
    <w:p>
      <w:pPr>
        <w:ind w:left="120" w:right="800" w:firstLine="551"/>
        <w:spacing w:after="0" w:line="276"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undertakes that:</w:t>
      </w:r>
    </w:p>
    <w:p>
      <w:pPr>
        <w:spacing w:after="0" w:line="117" w:lineRule="exact"/>
        <w:rPr>
          <w:sz w:val="20"/>
          <w:szCs w:val="20"/>
          <w:color w:val="auto"/>
        </w:rPr>
      </w:pPr>
    </w:p>
    <w:p>
      <w:pPr>
        <w:ind w:left="1300" w:right="20" w:hanging="644"/>
        <w:spacing w:after="0" w:line="248"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5" w:lineRule="exact"/>
        <w:rPr>
          <w:rFonts w:ascii="Arial" w:cs="Arial" w:eastAsia="Arial" w:hAnsi="Arial"/>
          <w:sz w:val="18"/>
          <w:szCs w:val="18"/>
          <w:color w:val="auto"/>
        </w:rPr>
      </w:pPr>
    </w:p>
    <w:p>
      <w:pPr>
        <w:ind w:left="1300" w:hanging="644"/>
        <w:spacing w:after="0" w:line="255"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360" w:type="dxa"/>
            <w:vAlign w:val="bottom"/>
            <w:gridSpan w:val="10"/>
          </w:tcPr>
          <w:p>
            <w:pPr>
              <w:ind w:left="20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7"/>
        </w:trPr>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80" w:type="dxa"/>
            <w:vAlign w:val="bottom"/>
            <w:gridSpan w:val="7"/>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2"/>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34">
              <w:r>
                <w:rPr>
                  <w:rFonts w:ascii="Arial" w:cs="Arial" w:eastAsia="Arial" w:hAnsi="Arial"/>
                  <w:sz w:val="18"/>
                  <w:szCs w:val="18"/>
                  <w:u w:val="single" w:color="auto"/>
                  <w:color w:val="0000EE"/>
                </w:rPr>
                <w:t>Form of Underwriting Agreement, including Form of Lock-up Agreement.</w:t>
              </w:r>
            </w:hyperlink>
          </w:p>
        </w:tc>
      </w:tr>
      <w:tr>
        <w:trPr>
          <w:trHeight w:val="310"/>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r:id="rId335">
              <w:r>
                <w:rPr>
                  <w:rFonts w:ascii="Arial" w:cs="Arial" w:eastAsia="Arial" w:hAnsi="Arial"/>
                  <w:sz w:val="18"/>
                  <w:szCs w:val="18"/>
                  <w:u w:val="single" w:color="auto"/>
                  <w:color w:val="0000EE"/>
                </w:rPr>
                <w:t>Amended and Restated Certificate of Incorporation of the Registrant, as amended, as currently in effect</w:t>
              </w:r>
              <w:r>
                <w:rPr>
                  <w:rFonts w:ascii="Arial" w:cs="Arial" w:eastAsia="Arial" w:hAnsi="Arial"/>
                  <w:sz w:val="18"/>
                  <w:szCs w:val="18"/>
                  <w:color w:val="0000EE"/>
                </w:rPr>
                <w:t>.</w:t>
              </w:r>
            </w:hyperlink>
          </w:p>
        </w:tc>
      </w:tr>
      <w:tr>
        <w:trPr>
          <w:trHeight w:val="266"/>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3"/>
                <w:szCs w:val="23"/>
                <w:color w:val="auto"/>
              </w:rPr>
            </w:pPr>
          </w:p>
        </w:tc>
        <w:tc>
          <w:tcPr>
            <w:tcW w:w="9780" w:type="dxa"/>
            <w:vAlign w:val="bottom"/>
            <w:gridSpan w:val="14"/>
          </w:tcPr>
          <w:p>
            <w:pPr>
              <w:spacing w:after="0"/>
              <w:rPr>
                <w:rFonts w:ascii="Arial" w:cs="Arial" w:eastAsia="Arial" w:hAnsi="Arial"/>
                <w:sz w:val="18"/>
                <w:szCs w:val="18"/>
                <w:color w:val="0000EE"/>
              </w:rPr>
            </w:pPr>
            <w:hyperlink r:id="rId336">
              <w:r>
                <w:rPr>
                  <w:rFonts w:ascii="Arial" w:cs="Arial" w:eastAsia="Arial" w:hAnsi="Arial"/>
                  <w:sz w:val="18"/>
                  <w:szCs w:val="18"/>
                  <w:color w:val="0000EE"/>
                </w:rPr>
                <w:t>Form of Amended and Restated Certificate of Incorporation of the Registrant, to be in effect immediately prior to the</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1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336">
              <w:r>
                <w:rPr>
                  <w:rFonts w:ascii="Arial" w:cs="Arial" w:eastAsia="Arial" w:hAnsi="Arial"/>
                  <w:sz w:val="18"/>
                  <w:szCs w:val="18"/>
                  <w:color w:val="0000EE"/>
                </w:rPr>
                <w:t>completion of this offering.</w:t>
              </w:r>
            </w:hyperlink>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5"/>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37">
              <w:r>
                <w:rPr>
                  <w:rFonts w:ascii="Arial" w:cs="Arial" w:eastAsia="Arial" w:hAnsi="Arial"/>
                  <w:sz w:val="18"/>
                  <w:szCs w:val="18"/>
                  <w:u w:val="single" w:color="auto"/>
                  <w:color w:val="0000EE"/>
                </w:rPr>
                <w:t>Bylaws of the Registrant, as currently in effect.</w:t>
              </w:r>
            </w:hyperlink>
          </w:p>
        </w:tc>
      </w:tr>
      <w:tr>
        <w:trPr>
          <w:trHeight w:val="311"/>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w w:val="99"/>
              </w:rPr>
            </w:pPr>
            <w:hyperlink r:id="rId338">
              <w:r>
                <w:rPr>
                  <w:rFonts w:ascii="Arial" w:cs="Arial" w:eastAsia="Arial" w:hAnsi="Arial"/>
                  <w:sz w:val="18"/>
                  <w:szCs w:val="18"/>
                  <w:u w:val="single" w:color="auto"/>
                  <w:color w:val="0000EE"/>
                  <w:w w:val="99"/>
                </w:rPr>
                <w:t>Form of Amended and Restated Bylaws of the Registrant, to be in effect immediately prior to the completion of this offering.</w:t>
              </w:r>
            </w:hyperlink>
          </w:p>
        </w:tc>
      </w:tr>
      <w:tr>
        <w:trPr>
          <w:trHeight w:val="266"/>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3"/>
                <w:szCs w:val="23"/>
                <w:color w:val="auto"/>
              </w:rPr>
            </w:pPr>
          </w:p>
        </w:tc>
        <w:tc>
          <w:tcPr>
            <w:tcW w:w="9780" w:type="dxa"/>
            <w:vAlign w:val="bottom"/>
            <w:gridSpan w:val="14"/>
          </w:tcPr>
          <w:p>
            <w:pPr>
              <w:spacing w:after="0"/>
              <w:rPr>
                <w:rFonts w:ascii="Arial" w:cs="Arial" w:eastAsia="Arial" w:hAnsi="Arial"/>
                <w:sz w:val="18"/>
                <w:szCs w:val="18"/>
                <w:color w:val="0000EE"/>
              </w:rPr>
            </w:pPr>
            <w:hyperlink r:id="rId339">
              <w:r>
                <w:rPr>
                  <w:rFonts w:ascii="Arial" w:cs="Arial" w:eastAsia="Arial" w:hAnsi="Arial"/>
                  <w:sz w:val="18"/>
                  <w:szCs w:val="18"/>
                  <w:color w:val="0000EE"/>
                </w:rPr>
                <w:t>Amended and Restated Investors’ Rights Agreement, dated July 17, 2020, by and among the Registrant and certain of its</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339">
              <w:r>
                <w:rPr>
                  <w:rFonts w:ascii="Arial" w:cs="Arial" w:eastAsia="Arial" w:hAnsi="Arial"/>
                  <w:sz w:val="18"/>
                  <w:szCs w:val="18"/>
                  <w:color w:val="0000EE"/>
                  <w:w w:val="98"/>
                </w:rPr>
                <w:t>stockholders.</w:t>
              </w:r>
            </w:hyperlink>
          </w:p>
        </w:tc>
        <w:tc>
          <w:tcPr>
            <w:tcW w:w="8580" w:type="dxa"/>
            <w:vAlign w:val="bottom"/>
            <w:tcBorders>
              <w:top w:val="single" w:sz="8" w:color="0000EE"/>
            </w:tcBorders>
            <w:gridSpan w:val="10"/>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35"/>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40">
              <w:r>
                <w:rPr>
                  <w:rFonts w:ascii="Arial" w:cs="Arial" w:eastAsia="Arial" w:hAnsi="Arial"/>
                  <w:sz w:val="18"/>
                  <w:szCs w:val="18"/>
                  <w:u w:val="single" w:color="auto"/>
                  <w:color w:val="0000EE"/>
                </w:rPr>
                <w:t>Specimen common stock certificate of the Registrant.</w:t>
              </w:r>
            </w:hyperlink>
          </w:p>
        </w:tc>
      </w:tr>
      <w:tr>
        <w:trPr>
          <w:trHeight w:val="311"/>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Opinion of Wilson Sonsini Goodrich &amp; Rosati, Professional Corporation.</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41">
              <w:r>
                <w:rPr>
                  <w:rFonts w:ascii="Arial" w:cs="Arial" w:eastAsia="Arial" w:hAnsi="Arial"/>
                  <w:sz w:val="18"/>
                  <w:szCs w:val="18"/>
                  <w:u w:val="single" w:color="auto"/>
                  <w:color w:val="0000EE"/>
                </w:rPr>
                <w:t>Form of Indemnification Agreement between the Registrant and each of its directors and executive officers.</w:t>
              </w:r>
            </w:hyperlink>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42">
              <w:r>
                <w:rPr>
                  <w:rFonts w:ascii="Arial" w:cs="Arial" w:eastAsia="Arial" w:hAnsi="Arial"/>
                  <w:sz w:val="18"/>
                  <w:szCs w:val="18"/>
                  <w:u w:val="single" w:color="auto"/>
                  <w:color w:val="0000EE"/>
                </w:rPr>
                <w:t>2013 Equity Incentive Plan, as amended, and forms of agreement thereunder.</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43">
              <w:r>
                <w:rPr>
                  <w:rFonts w:ascii="Arial" w:cs="Arial" w:eastAsia="Arial" w:hAnsi="Arial"/>
                  <w:sz w:val="18"/>
                  <w:szCs w:val="18"/>
                  <w:u w:val="single" w:color="auto"/>
                  <w:color w:val="0000EE"/>
                </w:rPr>
                <w:t>2020 Equity Incentive Plan and forms of agreements thereunder, to be in effect prior to the completion of this offering.</w:t>
              </w:r>
            </w:hyperlink>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3"/>
                <w:szCs w:val="23"/>
                <w:color w:val="auto"/>
              </w:rPr>
            </w:pPr>
          </w:p>
        </w:tc>
        <w:tc>
          <w:tcPr>
            <w:tcW w:w="9780" w:type="dxa"/>
            <w:vAlign w:val="bottom"/>
            <w:gridSpan w:val="14"/>
          </w:tcPr>
          <w:p>
            <w:pPr>
              <w:spacing w:after="0"/>
              <w:rPr>
                <w:rFonts w:ascii="Arial" w:cs="Arial" w:eastAsia="Arial" w:hAnsi="Arial"/>
                <w:sz w:val="18"/>
                <w:szCs w:val="18"/>
                <w:color w:val="0000EE"/>
              </w:rPr>
            </w:pPr>
            <w:hyperlink r:id="rId344">
              <w:r>
                <w:rPr>
                  <w:rFonts w:ascii="Arial" w:cs="Arial" w:eastAsia="Arial" w:hAnsi="Arial"/>
                  <w:sz w:val="18"/>
                  <w:szCs w:val="18"/>
                  <w:color w:val="0000EE"/>
                </w:rPr>
                <w:t>2020 Employee Stock Purchase Plan and forms of agreements thereunder, to be in effect upon the completion of this</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r:id="rId344">
              <w:r>
                <w:rPr>
                  <w:rFonts w:ascii="Arial" w:cs="Arial" w:eastAsia="Arial" w:hAnsi="Arial"/>
                  <w:sz w:val="18"/>
                  <w:szCs w:val="18"/>
                  <w:color w:val="0000EE"/>
                  <w:w w:val="95"/>
                </w:rPr>
                <w:t>offering.</w:t>
              </w:r>
            </w:hyperlink>
          </w:p>
        </w:tc>
        <w:tc>
          <w:tcPr>
            <w:tcW w:w="8660" w:type="dxa"/>
            <w:vAlign w:val="bottom"/>
            <w:tcBorders>
              <w:top w:val="single" w:sz="8" w:color="0000EE"/>
            </w:tcBorders>
            <w:gridSpan w:val="10"/>
          </w:tcPr>
          <w:p>
            <w:pPr>
              <w:spacing w:after="0"/>
              <w:rPr>
                <w:sz w:val="15"/>
                <w:szCs w:val="15"/>
                <w:color w:val="auto"/>
              </w:rPr>
            </w:pPr>
          </w:p>
        </w:tc>
        <w:tc>
          <w:tcPr>
            <w:tcW w:w="4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r>
      <w:tr>
        <w:trPr>
          <w:trHeight w:val="335"/>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45">
              <w:r>
                <w:rPr>
                  <w:rFonts w:ascii="Arial" w:cs="Arial" w:eastAsia="Arial" w:hAnsi="Arial"/>
                  <w:sz w:val="18"/>
                  <w:szCs w:val="18"/>
                  <w:u w:val="single" w:color="auto"/>
                  <w:color w:val="0000EE"/>
                </w:rPr>
                <w:t>Employment Offer Letter, dated August 17, 2020, by and between the Registrant and David H. Mack, Ph.D.</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r:id="rId346">
              <w:r>
                <w:rPr>
                  <w:rFonts w:ascii="Arial" w:cs="Arial" w:eastAsia="Arial" w:hAnsi="Arial"/>
                  <w:sz w:val="18"/>
                  <w:szCs w:val="18"/>
                  <w:u w:val="single" w:color="auto"/>
                  <w:color w:val="0000EE"/>
                </w:rPr>
                <w:t>Employment Offer Letter, dated August 17, 2020, by and between the Registrant and Winston Kung</w:t>
              </w:r>
            </w:hyperlink>
            <w:r>
              <w:rPr>
                <w:rFonts w:ascii="Arial" w:cs="Arial" w:eastAsia="Arial" w:hAnsi="Arial"/>
                <w:sz w:val="18"/>
                <w:szCs w:val="18"/>
                <w:color w:val="000000"/>
              </w:rPr>
              <w:t>.</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47">
              <w:r>
                <w:rPr>
                  <w:rFonts w:ascii="Arial" w:cs="Arial" w:eastAsia="Arial" w:hAnsi="Arial"/>
                  <w:sz w:val="18"/>
                  <w:szCs w:val="18"/>
                  <w:u w:val="single" w:color="auto"/>
                  <w:color w:val="0000EE"/>
                </w:rPr>
                <w:t>Employment Offer Letter, dated August 18, 2020, by and between the Registrant and Leila Alland, M.D.</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r:id="rId348">
              <w:r>
                <w:rPr>
                  <w:rFonts w:ascii="Arial" w:cs="Arial" w:eastAsia="Arial" w:hAnsi="Arial"/>
                  <w:sz w:val="18"/>
                  <w:szCs w:val="18"/>
                  <w:u w:val="single" w:color="auto"/>
                  <w:color w:val="0000EE"/>
                </w:rPr>
                <w:t>Employment Offer Letter, dated August 18, 2020, by and between the Registrant and Deepika Jalota, Pharm.D</w:t>
              </w:r>
              <w:r>
                <w:rPr>
                  <w:rFonts w:ascii="Arial" w:cs="Arial" w:eastAsia="Arial" w:hAnsi="Arial"/>
                  <w:sz w:val="18"/>
                  <w:szCs w:val="18"/>
                  <w:color w:val="0000EE"/>
                </w:rPr>
                <w:t>.</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49">
              <w:r>
                <w:rPr>
                  <w:rFonts w:ascii="Arial" w:cs="Arial" w:eastAsia="Arial" w:hAnsi="Arial"/>
                  <w:sz w:val="18"/>
                  <w:szCs w:val="18"/>
                  <w:u w:val="single" w:color="auto"/>
                  <w:color w:val="0000EE"/>
                </w:rPr>
                <w:t>Employee Incentive Compensation Plan.</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50">
              <w:r>
                <w:rPr>
                  <w:rFonts w:ascii="Arial" w:cs="Arial" w:eastAsia="Arial" w:hAnsi="Arial"/>
                  <w:sz w:val="18"/>
                  <w:szCs w:val="18"/>
                  <w:u w:val="single" w:color="auto"/>
                  <w:color w:val="0000EE"/>
                </w:rPr>
                <w:t>Change in Control and Severance Policy.</w:t>
              </w:r>
            </w:hyperlink>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500" w:type="dxa"/>
            <w:vAlign w:val="bottom"/>
          </w:tcPr>
          <w:p>
            <w:pPr>
              <w:spacing w:after="0"/>
              <w:rPr>
                <w:sz w:val="23"/>
                <w:szCs w:val="23"/>
                <w:color w:val="auto"/>
              </w:rPr>
            </w:pPr>
          </w:p>
        </w:tc>
        <w:tc>
          <w:tcPr>
            <w:tcW w:w="9780" w:type="dxa"/>
            <w:vAlign w:val="bottom"/>
            <w:gridSpan w:val="14"/>
          </w:tcPr>
          <w:p>
            <w:pPr>
              <w:spacing w:after="0"/>
              <w:rPr>
                <w:rFonts w:ascii="Arial" w:cs="Arial" w:eastAsia="Arial" w:hAnsi="Arial"/>
                <w:sz w:val="18"/>
                <w:szCs w:val="18"/>
                <w:color w:val="0000EE"/>
              </w:rPr>
            </w:pPr>
            <w:hyperlink r:id="rId351">
              <w:r>
                <w:rPr>
                  <w:rFonts w:ascii="Arial" w:cs="Arial" w:eastAsia="Arial" w:hAnsi="Arial"/>
                  <w:sz w:val="18"/>
                  <w:szCs w:val="18"/>
                  <w:color w:val="0000EE"/>
                </w:rPr>
                <w:t>Amended and Restated Change in Control and Severance Policy Participation Agreement, dated August 17, 2020, by and</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351">
              <w:r>
                <w:rPr>
                  <w:rFonts w:ascii="Arial" w:cs="Arial" w:eastAsia="Arial" w:hAnsi="Arial"/>
                  <w:sz w:val="18"/>
                  <w:szCs w:val="18"/>
                  <w:color w:val="0000EE"/>
                </w:rPr>
                <w:t>between the Registrant and David H. Mack, Ph.D.</w:t>
              </w:r>
            </w:hyperlink>
          </w:p>
        </w:tc>
        <w:tc>
          <w:tcPr>
            <w:tcW w:w="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r:id="rId352">
              <w:r>
                <w:rPr>
                  <w:rFonts w:ascii="Arial" w:cs="Arial" w:eastAsia="Arial" w:hAnsi="Arial"/>
                  <w:sz w:val="18"/>
                  <w:szCs w:val="18"/>
                  <w:color w:val="0000EE"/>
                </w:rPr>
                <w:t>Amended and Restated Change in Control and Severance Policy Participation Agreement, dated August 17, 2020, by and</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352">
              <w:r>
                <w:rPr>
                  <w:rFonts w:ascii="Arial" w:cs="Arial" w:eastAsia="Arial" w:hAnsi="Arial"/>
                  <w:sz w:val="18"/>
                  <w:szCs w:val="18"/>
                  <w:color w:val="0000EE"/>
                  <w:w w:val="99"/>
                </w:rPr>
                <w:t>between the Registrant and Winston Kung.</w:t>
              </w:r>
            </w:hyperlink>
          </w:p>
        </w:tc>
        <w:tc>
          <w:tcPr>
            <w:tcW w:w="6280" w:type="dxa"/>
            <w:vAlign w:val="bottom"/>
            <w:tcBorders>
              <w:top w:val="single" w:sz="8" w:color="0000EE"/>
            </w:tcBorders>
            <w:gridSpan w:val="9"/>
          </w:tcPr>
          <w:p>
            <w:pPr>
              <w:spacing w:after="0"/>
              <w:rPr>
                <w:sz w:val="15"/>
                <w:szCs w:val="15"/>
                <w:color w:val="auto"/>
              </w:rPr>
            </w:pPr>
          </w:p>
        </w:tc>
        <w:tc>
          <w:tcPr>
            <w:tcW w:w="80" w:type="dxa"/>
            <w:vAlign w:val="bottom"/>
          </w:tcPr>
          <w:p>
            <w:pPr>
              <w:spacing w:after="0"/>
              <w:rPr>
                <w:sz w:val="15"/>
                <w:szCs w:val="15"/>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r:id="rId353">
              <w:r>
                <w:rPr>
                  <w:rFonts w:ascii="Arial" w:cs="Arial" w:eastAsia="Arial" w:hAnsi="Arial"/>
                  <w:sz w:val="18"/>
                  <w:szCs w:val="18"/>
                  <w:color w:val="0000EE"/>
                </w:rPr>
                <w:t>Amended and Restated Change in Control and Severance Policy Participation Agreement, dated August 18, 2020, by and</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353">
              <w:r>
                <w:rPr>
                  <w:rFonts w:ascii="Arial" w:cs="Arial" w:eastAsia="Arial" w:hAnsi="Arial"/>
                  <w:sz w:val="18"/>
                  <w:szCs w:val="18"/>
                  <w:color w:val="0000EE"/>
                  <w:w w:val="99"/>
                </w:rPr>
                <w:t>between the Registrant and Leila Alland, M.D.</w:t>
              </w:r>
            </w:hyperlink>
          </w:p>
        </w:tc>
        <w:tc>
          <w:tcPr>
            <w:tcW w:w="6040" w:type="dxa"/>
            <w:vAlign w:val="bottom"/>
            <w:tcBorders>
              <w:top w:val="single" w:sz="8" w:color="0000EE"/>
            </w:tcBorders>
            <w:gridSpan w:val="8"/>
          </w:tcPr>
          <w:p>
            <w:pPr>
              <w:spacing w:after="0"/>
              <w:rPr>
                <w:sz w:val="15"/>
                <w:szCs w:val="15"/>
                <w:color w:val="auto"/>
              </w:rPr>
            </w:pPr>
          </w:p>
        </w:tc>
        <w:tc>
          <w:tcPr>
            <w:tcW w:w="80" w:type="dxa"/>
            <w:vAlign w:val="bottom"/>
          </w:tcPr>
          <w:p>
            <w:pPr>
              <w:spacing w:after="0"/>
              <w:rPr>
                <w:sz w:val="15"/>
                <w:szCs w:val="15"/>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r:id="rId354">
              <w:r>
                <w:rPr>
                  <w:rFonts w:ascii="Arial" w:cs="Arial" w:eastAsia="Arial" w:hAnsi="Arial"/>
                  <w:sz w:val="18"/>
                  <w:szCs w:val="18"/>
                  <w:color w:val="0000EE"/>
                </w:rPr>
                <w:t>Amended and Restated Change in Control and Severance Policy Participation Agreement, dated August 18, 2020, by and</w:t>
              </w:r>
            </w:hyperlink>
          </w:p>
        </w:tc>
      </w:tr>
      <w:tr>
        <w:trPr>
          <w:trHeight w:val="182"/>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3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354">
              <w:r>
                <w:rPr>
                  <w:rFonts w:ascii="Arial" w:cs="Arial" w:eastAsia="Arial" w:hAnsi="Arial"/>
                  <w:sz w:val="18"/>
                  <w:szCs w:val="18"/>
                  <w:color w:val="0000EE"/>
                  <w:w w:val="99"/>
                </w:rPr>
                <w:t>between the Registrant and Deepika Jalota, Pharm.D.</w:t>
              </w:r>
            </w:hyperlink>
          </w:p>
        </w:tc>
        <w:tc>
          <w:tcPr>
            <w:tcW w:w="5400" w:type="dxa"/>
            <w:vAlign w:val="bottom"/>
            <w:tcBorders>
              <w:top w:val="single" w:sz="8" w:color="0000EE"/>
            </w:tcBorders>
            <w:gridSpan w:val="6"/>
          </w:tcPr>
          <w:p>
            <w:pPr>
              <w:spacing w:after="0"/>
              <w:rPr>
                <w:sz w:val="15"/>
                <w:szCs w:val="15"/>
                <w:color w:val="auto"/>
              </w:rPr>
            </w:pPr>
          </w:p>
        </w:tc>
        <w:tc>
          <w:tcPr>
            <w:tcW w:w="80" w:type="dxa"/>
            <w:vAlign w:val="bottom"/>
          </w:tcPr>
          <w:p>
            <w:pPr>
              <w:spacing w:after="0"/>
              <w:rPr>
                <w:sz w:val="15"/>
                <w:szCs w:val="15"/>
                <w:color w:val="auto"/>
              </w:rPr>
            </w:pPr>
          </w:p>
        </w:tc>
      </w:tr>
    </w:tbl>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700" w:type="dxa"/>
            <w:vAlign w:val="bottom"/>
            <w:gridSpan w:val="4"/>
          </w:tcPr>
          <w:p>
            <w:pPr>
              <w:ind w:left="6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500" w:type="dxa"/>
            <w:vAlign w:val="bottom"/>
          </w:tcPr>
          <w:p>
            <w:pPr>
              <w:spacing w:after="0"/>
              <w:rPr>
                <w:sz w:val="24"/>
                <w:szCs w:val="24"/>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r:id="rId356">
              <w:r>
                <w:rPr>
                  <w:rFonts w:ascii="Arial" w:cs="Arial" w:eastAsia="Arial" w:hAnsi="Arial"/>
                  <w:sz w:val="18"/>
                  <w:szCs w:val="18"/>
                  <w:u w:val="single" w:color="auto"/>
                  <w:color w:val="0000EE"/>
                </w:rPr>
                <w:t>Outside Director Compensation Policy.</w:t>
              </w:r>
            </w:hyperlink>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500" w:type="dxa"/>
            <w:vAlign w:val="bottom"/>
          </w:tcPr>
          <w:p>
            <w:pPr>
              <w:spacing w:after="0"/>
              <w:rPr>
                <w:sz w:val="24"/>
                <w:szCs w:val="24"/>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r:id="rId357">
              <w:r>
                <w:rPr>
                  <w:rFonts w:ascii="Arial" w:cs="Arial" w:eastAsia="Arial" w:hAnsi="Arial"/>
                  <w:sz w:val="18"/>
                  <w:szCs w:val="18"/>
                  <w:u w:val="single" w:color="auto"/>
                  <w:color w:val="0000EE"/>
                </w:rPr>
                <w:t>Consulting Agreement, dated January 1, 2016, by and between the Registrant and Arnold Levine, Ph.D.</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500" w:type="dxa"/>
            <w:vAlign w:val="bottom"/>
          </w:tcPr>
          <w:p>
            <w:pPr>
              <w:spacing w:after="0"/>
              <w:rPr>
                <w:sz w:val="24"/>
                <w:szCs w:val="24"/>
                <w:color w:val="auto"/>
              </w:rPr>
            </w:pPr>
          </w:p>
        </w:tc>
        <w:tc>
          <w:tcPr>
            <w:tcW w:w="9520" w:type="dxa"/>
            <w:vAlign w:val="bottom"/>
            <w:gridSpan w:val="5"/>
          </w:tcPr>
          <w:p>
            <w:pPr>
              <w:spacing w:after="0"/>
              <w:rPr>
                <w:rFonts w:ascii="Arial" w:cs="Arial" w:eastAsia="Arial" w:hAnsi="Arial"/>
                <w:sz w:val="18"/>
                <w:szCs w:val="18"/>
                <w:color w:val="0000EE"/>
              </w:rPr>
            </w:pPr>
            <w:hyperlink r:id="rId358">
              <w:r>
                <w:rPr>
                  <w:rFonts w:ascii="Arial" w:cs="Arial" w:eastAsia="Arial" w:hAnsi="Arial"/>
                  <w:sz w:val="18"/>
                  <w:szCs w:val="18"/>
                  <w:u w:val="single" w:color="auto"/>
                  <w:color w:val="0000EE"/>
                </w:rPr>
                <w:t>Consulting Agreement, dated July 14, 2017, by and between the Registrant and Richard Heyman, Ph.D</w:t>
              </w:r>
              <w:r>
                <w:rPr>
                  <w:rFonts w:ascii="Arial" w:cs="Arial" w:eastAsia="Arial" w:hAnsi="Arial"/>
                  <w:sz w:val="18"/>
                  <w:szCs w:val="18"/>
                  <w:color w:val="0000EE"/>
                </w:rPr>
                <w:t>.</w:t>
              </w:r>
            </w:hyperlink>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500" w:type="dxa"/>
            <w:vAlign w:val="bottom"/>
          </w:tcPr>
          <w:p>
            <w:pPr>
              <w:spacing w:after="0"/>
              <w:rPr>
                <w:sz w:val="23"/>
                <w:szCs w:val="23"/>
                <w:color w:val="auto"/>
              </w:rPr>
            </w:pPr>
          </w:p>
        </w:tc>
        <w:tc>
          <w:tcPr>
            <w:tcW w:w="9520" w:type="dxa"/>
            <w:vAlign w:val="bottom"/>
            <w:gridSpan w:val="5"/>
          </w:tcPr>
          <w:p>
            <w:pPr>
              <w:spacing w:after="0"/>
              <w:rPr>
                <w:rFonts w:ascii="Arial" w:cs="Arial" w:eastAsia="Arial" w:hAnsi="Arial"/>
                <w:sz w:val="18"/>
                <w:szCs w:val="18"/>
                <w:color w:val="0000EE"/>
                <w:w w:val="99"/>
              </w:rPr>
            </w:pPr>
            <w:hyperlink r:id="rId359">
              <w:r>
                <w:rPr>
                  <w:rFonts w:ascii="Arial" w:cs="Arial" w:eastAsia="Arial" w:hAnsi="Arial"/>
                  <w:sz w:val="18"/>
                  <w:szCs w:val="18"/>
                  <w:color w:val="0000EE"/>
                  <w:w w:val="99"/>
                </w:rPr>
                <w:t>Lease Agreement, dated March 3, 2015, by and between the Registrant and Cedar Brook 2005, LP, as amended by the</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359">
              <w:r>
                <w:rPr>
                  <w:rFonts w:ascii="Arial" w:cs="Arial" w:eastAsia="Arial" w:hAnsi="Arial"/>
                  <w:sz w:val="18"/>
                  <w:szCs w:val="18"/>
                  <w:color w:val="0000EE"/>
                  <w:w w:val="99"/>
                </w:rPr>
                <w:t>First Amendment to Lease dated April 24, 2017.</w:t>
              </w:r>
            </w:hyperlink>
          </w:p>
        </w:tc>
        <w:tc>
          <w:tcPr>
            <w:tcW w:w="568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335"/>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Consent of Independent Registered Public Accounting Firm.</w:t>
              </w:r>
            </w:hyperlink>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9520" w:type="dxa"/>
            <w:vAlign w:val="bottom"/>
            <w:gridSpan w:val="5"/>
          </w:tcPr>
          <w:p>
            <w:pPr>
              <w:spacing w:after="0"/>
              <w:rPr>
                <w:rFonts w:ascii="Arial" w:cs="Arial" w:eastAsia="Arial" w:hAnsi="Arial"/>
                <w:sz w:val="18"/>
                <w:szCs w:val="18"/>
                <w:color w:val="0000EE"/>
              </w:rPr>
            </w:pPr>
            <w:hyperlink w:anchor="page262">
              <w:r>
                <w:rPr>
                  <w:rFonts w:ascii="Arial" w:cs="Arial" w:eastAsia="Arial" w:hAnsi="Arial"/>
                  <w:sz w:val="18"/>
                  <w:szCs w:val="18"/>
                  <w:u w:val="single" w:color="auto"/>
                  <w:color w:val="0000EE"/>
                </w:rPr>
                <w:t>Consent of Wilson Sonsini Goodrich &amp; Rosati, Professional Corporation (included in Exhibit 5.1)</w:t>
              </w:r>
              <w:r>
                <w:rPr>
                  <w:rFonts w:ascii="Arial" w:cs="Arial" w:eastAsia="Arial" w:hAnsi="Arial"/>
                  <w:sz w:val="18"/>
                  <w:szCs w:val="18"/>
                  <w:color w:val="0000EE"/>
                </w:rPr>
                <w:t>.</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24"/>
                <w:szCs w:val="24"/>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r:id="rId360">
              <w:r>
                <w:rPr>
                  <w:rFonts w:ascii="Arial" w:cs="Arial" w:eastAsia="Arial" w:hAnsi="Arial"/>
                  <w:sz w:val="18"/>
                  <w:szCs w:val="18"/>
                  <w:u w:val="single" w:color="auto"/>
                  <w:color w:val="0000EE"/>
                </w:rPr>
                <w:t>Power of Attorney (see page II-7 to Form S-1 filed with the SEC on September 4, 2020).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660" w:hanging="544"/>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 w:lineRule="exact"/>
        <w:rPr>
          <w:sz w:val="20"/>
          <w:szCs w:val="20"/>
          <w:color w:val="auto"/>
        </w:rPr>
      </w:pPr>
    </w:p>
    <w:p>
      <w:pPr>
        <w:ind w:left="660" w:hanging="544"/>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Indicated management contract or compensatory plan.</w:t>
      </w:r>
    </w:p>
    <w:p>
      <w:pPr>
        <w:spacing w:after="0" w:line="3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840"/>
          </w:cols>
          <w:pgMar w:left="320" w:top="455" w:right="7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left="120" w:firstLine="551"/>
        <w:spacing w:after="0" w:line="306"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Cranbury, New Jersey, on September 24, 2020.</w:t>
      </w:r>
    </w:p>
    <w:p>
      <w:pPr>
        <w:spacing w:after="0" w:line="1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PMV PHARMACEUTICALS, INC.</w:t>
      </w:r>
    </w:p>
    <w:p>
      <w:pPr>
        <w:spacing w:after="0" w:line="2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11430</wp:posOffset>
            </wp:positionV>
            <wp:extent cx="25628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David H. Mack, Ph.D.</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0"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60" w:type="dxa"/>
            <w:vAlign w:val="bottom"/>
            <w:gridSpan w:val="2"/>
          </w:tcPr>
          <w:p>
            <w:pPr>
              <w:jc w:val="center"/>
              <w:ind w:right="2160"/>
              <w:spacing w:after="0"/>
              <w:rPr>
                <w:sz w:val="20"/>
                <w:szCs w:val="20"/>
                <w:color w:val="auto"/>
              </w:rPr>
            </w:pPr>
            <w:r>
              <w:rPr>
                <w:rFonts w:ascii="Arial" w:cs="Arial" w:eastAsia="Arial" w:hAnsi="Arial"/>
                <w:sz w:val="14"/>
                <w:szCs w:val="14"/>
                <w:b w:val="1"/>
                <w:bCs w:val="1"/>
                <w:color w:val="auto"/>
              </w:rPr>
              <w:t>Title</w:t>
            </w:r>
          </w:p>
        </w:tc>
        <w:tc>
          <w:tcPr>
            <w:tcW w:w="2020" w:type="dxa"/>
            <w:vAlign w:val="bottom"/>
            <w:gridSpan w:val="3"/>
          </w:tcPr>
          <w:p>
            <w:pPr>
              <w:jc w:val="center"/>
              <w:ind w:left="31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40" w:type="dxa"/>
            <w:vAlign w:val="bottom"/>
          </w:tcPr>
          <w:p>
            <w:pPr>
              <w:spacing w:after="0"/>
              <w:rPr>
                <w:sz w:val="24"/>
                <w:szCs w:val="24"/>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/s/ David H. Mack</w:t>
            </w: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President, Chief Executive Officer and 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24, 2020</w:t>
            </w:r>
          </w:p>
        </w:tc>
        <w:tc>
          <w:tcPr>
            <w:tcW w:w="0" w:type="dxa"/>
            <w:vAlign w:val="bottom"/>
          </w:tcPr>
          <w:p>
            <w:pPr>
              <w:spacing w:after="0"/>
              <w:rPr>
                <w:sz w:val="1"/>
                <w:szCs w:val="1"/>
                <w:color w:val="auto"/>
              </w:rPr>
            </w:pPr>
          </w:p>
        </w:tc>
      </w:tr>
      <w:tr>
        <w:trPr>
          <w:trHeight w:val="23"/>
        </w:trPr>
        <w:tc>
          <w:tcPr>
            <w:tcW w:w="44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gridSpan w:val="3"/>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300" w:type="dxa"/>
            <w:vAlign w:val="bottom"/>
            <w:gridSpan w:val="3"/>
            <w:vMerge w:val="restart"/>
          </w:tcPr>
          <w:p>
            <w:pPr>
              <w:jc w:val="center"/>
              <w:ind w:right="320"/>
              <w:spacing w:after="0"/>
              <w:rPr>
                <w:sz w:val="20"/>
                <w:szCs w:val="20"/>
                <w:color w:val="auto"/>
              </w:rPr>
            </w:pPr>
            <w:r>
              <w:rPr>
                <w:rFonts w:ascii="Arial" w:cs="Arial" w:eastAsia="Arial" w:hAnsi="Arial"/>
                <w:sz w:val="18"/>
                <w:szCs w:val="18"/>
                <w:color w:val="auto"/>
                <w:w w:val="99"/>
              </w:rPr>
              <w:t>(Principal Executive Officer)</w:t>
            </w: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David H. Mack, Ph.D.</w:t>
            </w:r>
          </w:p>
        </w:tc>
        <w:tc>
          <w:tcPr>
            <w:tcW w:w="440" w:type="dxa"/>
            <w:vAlign w:val="bottom"/>
            <w:vMerge w:val="continue"/>
          </w:tcPr>
          <w:p>
            <w:pPr>
              <w:spacing w:after="0"/>
              <w:rPr>
                <w:sz w:val="20"/>
                <w:szCs w:val="20"/>
                <w:color w:val="auto"/>
              </w:rPr>
            </w:pPr>
          </w:p>
        </w:tc>
        <w:tc>
          <w:tcPr>
            <w:tcW w:w="4300" w:type="dxa"/>
            <w:vAlign w:val="bottom"/>
            <w:gridSpan w:val="3"/>
            <w:vMerge w:val="continue"/>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40" w:type="dxa"/>
            <w:vAlign w:val="bottom"/>
          </w:tcPr>
          <w:p>
            <w:pPr>
              <w:spacing w:after="0"/>
              <w:rPr>
                <w:sz w:val="24"/>
                <w:szCs w:val="24"/>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/s/ Winston Kung</w:t>
            </w: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Chief Operating Officer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24, 2020</w:t>
            </w:r>
          </w:p>
        </w:tc>
        <w:tc>
          <w:tcPr>
            <w:tcW w:w="0" w:type="dxa"/>
            <w:vAlign w:val="bottom"/>
          </w:tcPr>
          <w:p>
            <w:pPr>
              <w:spacing w:after="0"/>
              <w:rPr>
                <w:sz w:val="1"/>
                <w:szCs w:val="1"/>
                <w:color w:val="auto"/>
              </w:rPr>
            </w:pPr>
          </w:p>
        </w:tc>
      </w:tr>
      <w:tr>
        <w:trPr>
          <w:trHeight w:val="23"/>
        </w:trPr>
        <w:tc>
          <w:tcPr>
            <w:tcW w:w="44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gridSpan w:val="3"/>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300" w:type="dxa"/>
            <w:vAlign w:val="bottom"/>
            <w:gridSpan w:val="3"/>
            <w:vMerge w:val="restart"/>
          </w:tcPr>
          <w:p>
            <w:pPr>
              <w:jc w:val="center"/>
              <w:ind w:right="300"/>
              <w:spacing w:after="0" w:line="202" w:lineRule="exact"/>
              <w:rPr>
                <w:sz w:val="20"/>
                <w:szCs w:val="20"/>
                <w:color w:val="auto"/>
              </w:rPr>
            </w:pPr>
            <w:r>
              <w:rPr>
                <w:rFonts w:ascii="Arial" w:cs="Arial" w:eastAsia="Arial" w:hAnsi="Arial"/>
                <w:sz w:val="18"/>
                <w:szCs w:val="18"/>
                <w:color w:val="auto"/>
                <w:w w:val="99"/>
              </w:rPr>
              <w:t>and Chief Financial Officer</w:t>
            </w: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3520" w:type="dxa"/>
            <w:vAlign w:val="bottom"/>
            <w:gridSpan w:val="3"/>
          </w:tcPr>
          <w:p>
            <w:pPr>
              <w:jc w:val="center"/>
              <w:ind w:right="440"/>
              <w:spacing w:after="0" w:line="160" w:lineRule="exact"/>
              <w:rPr>
                <w:sz w:val="20"/>
                <w:szCs w:val="20"/>
                <w:color w:val="auto"/>
              </w:rPr>
            </w:pPr>
            <w:r>
              <w:rPr>
                <w:rFonts w:ascii="Arial" w:cs="Arial" w:eastAsia="Arial" w:hAnsi="Arial"/>
                <w:sz w:val="18"/>
                <w:szCs w:val="18"/>
                <w:color w:val="auto"/>
                <w:w w:val="99"/>
              </w:rPr>
              <w:t>Winston Kung</w:t>
            </w:r>
          </w:p>
        </w:tc>
        <w:tc>
          <w:tcPr>
            <w:tcW w:w="440" w:type="dxa"/>
            <w:vAlign w:val="bottom"/>
            <w:vMerge w:val="continue"/>
          </w:tcPr>
          <w:p>
            <w:pPr>
              <w:spacing w:after="0"/>
              <w:rPr>
                <w:sz w:val="13"/>
                <w:szCs w:val="13"/>
                <w:color w:val="auto"/>
              </w:rPr>
            </w:pPr>
          </w:p>
        </w:tc>
        <w:tc>
          <w:tcPr>
            <w:tcW w:w="430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(Principal Financial and Accounting Officer)</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3"/>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Director and Chairman of the Board of Directors</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24,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Richard Heyman, Ph.D.</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24,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Arnold Levine, Ph.D.</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24,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Arnold Oronsky, Ph.D.</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24,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Thilo Schroeder, Ph.D.</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24,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rPr>
              <w:t>Laurie Stelzer</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24,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Peter Thompson, M.D.</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960" w:type="dxa"/>
            <w:vAlign w:val="bottom"/>
            <w:gridSpan w:val="4"/>
          </w:tcPr>
          <w:p>
            <w:pPr>
              <w:spacing w:after="0"/>
              <w:rPr>
                <w:sz w:val="20"/>
                <w:szCs w:val="20"/>
                <w:color w:val="auto"/>
              </w:rPr>
            </w:pPr>
            <w:r>
              <w:rPr>
                <w:rFonts w:ascii="Arial" w:cs="Arial" w:eastAsia="Arial" w:hAnsi="Arial"/>
                <w:sz w:val="18"/>
                <w:szCs w:val="18"/>
                <w:color w:val="auto"/>
              </w:rPr>
              <w:t>*By: /s/ David H. Mack</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David H. Mack, Attorney-in-fact</w:t>
            </w:r>
          </w:p>
        </w:tc>
        <w:tc>
          <w:tcPr>
            <w:tcW w:w="440" w:type="dxa"/>
            <w:vAlign w:val="bottom"/>
            <w:tcBorders>
              <w:top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ind w:left="980"/>
              <w:spacing w:after="0"/>
              <w:rPr>
                <w:sz w:val="20"/>
                <w:szCs w:val="20"/>
                <w:color w:val="auto"/>
              </w:rPr>
            </w:pPr>
            <w:r>
              <w:rPr>
                <w:rFonts w:ascii="Arial" w:cs="Arial" w:eastAsia="Arial" w:hAnsi="Arial"/>
                <w:sz w:val="18"/>
                <w:szCs w:val="18"/>
                <w:color w:val="auto"/>
              </w:rPr>
              <w:t>II-7</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7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1301 Avenue of the Americas, 40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New York, NY 10019-6022</w:t>
      </w:r>
    </w:p>
    <w:p>
      <w:pPr>
        <w:spacing w:after="0" w:line="9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HONE</w:t>
      </w:r>
      <w:r>
        <w:rPr>
          <w:rFonts w:ascii="Times New Roman" w:cs="Times New Roman" w:eastAsia="Times New Roman" w:hAnsi="Times New Roman"/>
          <w:sz w:val="18"/>
          <w:szCs w:val="18"/>
          <w:color w:val="auto"/>
        </w:rPr>
        <w:t>: 212.999.5800</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212.999.5899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24,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Clarke Drive, Suite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u w:val="single" w:color="auto"/>
          <w:color w:val="auto"/>
        </w:rPr>
        <w:t>Registration Statement on Form S-1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furnished to you in connection with the Registration Statement on Form S-1 (Registration No. 333-248627), as amended (the</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PMV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the Securities and Exchange Commission in connection with the registration under the Securities Act of 1933, as amended, of up to 13,529,750 shares (including up to 1,764,750 shares issuable upon exercise of an option granted to the underwriters by the Company) of the Company’s common stock, $0.00001 par value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be issued and sold by the Company.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the underwriters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the basis of the foregoing, we are of the opinion that upon the effectiveness of the Company’s Amended and Restated Certificate of Incorporation, a form of which has been filed as Exhibit 3.2 to the Registration Statement, the Shares to be issued and sold by the Company have been duly authorized and, when such Shares are issued and paid for in accordance with the terms of the Underwriting Agreement, will be validly issued, fully paid and nonassessable.</w:t>
      </w:r>
    </w:p>
    <w:p>
      <w:pPr>
        <w:sectPr>
          <w:pgSz w:w="11900" w:h="16838" w:orient="portrait"/>
          <w:cols w:equalWidth="0" w:num="1">
            <w:col w:w="11020"/>
          </w:cols>
          <w:pgMar w:left="440" w:top="117" w:right="439" w:bottom="1440" w:gutter="0" w:footer="0" w:header="0"/>
        </w:sectPr>
      </w:pP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AUSTIN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firstLine="19"/>
        <w:spacing w:after="0" w:line="261" w:lineRule="auto"/>
        <w:rPr>
          <w:sz w:val="20"/>
          <w:szCs w:val="20"/>
          <w:color w:val="auto"/>
        </w:rPr>
      </w:pPr>
      <w:r>
        <w:rPr>
          <w:rFonts w:ascii="Times New Roman" w:cs="Times New Roman" w:eastAsia="Times New Roman" w:hAnsi="Times New Roman"/>
          <w:sz w:val="14"/>
          <w:szCs w:val="14"/>
          <w:color w:val="auto"/>
        </w:rPr>
        <w:t>BEIJING SAN DIEGO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hanging="208"/>
        <w:spacing w:after="0" w:line="261" w:lineRule="auto"/>
        <w:rPr>
          <w:sz w:val="20"/>
          <w:szCs w:val="20"/>
          <w:color w:val="auto"/>
        </w:rPr>
      </w:pPr>
      <w:r>
        <w:rPr>
          <w:rFonts w:ascii="Times New Roman" w:cs="Times New Roman" w:eastAsia="Times New Roman" w:hAnsi="Times New Roman"/>
          <w:sz w:val="14"/>
          <w:szCs w:val="14"/>
          <w:color w:val="auto"/>
        </w:rPr>
        <w:t>BOSTON</w:t>
      </w:r>
      <w:r>
        <w:rPr>
          <w:sz w:val="20"/>
          <w:szCs w:val="20"/>
          <w:color w:val="auto"/>
        </w:rPr>
        <w:t xml:space="preserve"> </w:t>
      </w:r>
      <w:r>
        <w:rPr>
          <w:rFonts w:ascii="Times New Roman" w:cs="Times New Roman" w:eastAsia="Times New Roman" w:hAnsi="Times New Roman"/>
          <w:sz w:val="14"/>
          <w:szCs w:val="14"/>
          <w:color w:val="auto"/>
        </w:rPr>
        <w:t>BRUSSELS SAN FRANCISCO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firstLine="340"/>
        <w:spacing w:after="0" w:line="261" w:lineRule="auto"/>
        <w:rPr>
          <w:sz w:val="20"/>
          <w:szCs w:val="20"/>
          <w:color w:val="auto"/>
        </w:rPr>
      </w:pPr>
      <w:r>
        <w:rPr>
          <w:rFonts w:ascii="Times New Roman" w:cs="Times New Roman" w:eastAsia="Times New Roman" w:hAnsi="Times New Roman"/>
          <w:sz w:val="14"/>
          <w:szCs w:val="14"/>
          <w:color w:val="auto"/>
        </w:rPr>
        <w:t>HONG KONG LONDON LOS ANGELES SEATTLE SHANGHAI WASHINGTON, DC</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WILMINGTON, DE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PALO ALTO</w:t>
      </w:r>
    </w:p>
    <w:p>
      <w:pPr>
        <w:sectPr>
          <w:pgSz w:w="11900" w:h="16838" w:orient="portrait"/>
          <w:cols w:equalWidth="0" w:num="6">
            <w:col w:w="1420" w:space="340"/>
            <w:col w:w="760" w:space="360"/>
            <w:col w:w="1480" w:space="20"/>
            <w:col w:w="3480" w:space="180"/>
            <w:col w:w="1220" w:space="100"/>
            <w:col w:w="1660"/>
          </w:cols>
          <w:pgMar w:left="440" w:top="117" w:right="439" w:bottom="1440" w:gutter="0" w:footer="0" w:header="0"/>
          <w:type w:val="continuous"/>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4718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471805"/>
                    </a:xfrm>
                    <a:prstGeom prst="rect">
                      <a:avLst/>
                    </a:prstGeom>
                    <a:noFill/>
                  </pic:spPr>
                </pic:pic>
              </a:graphicData>
            </a:graphic>
          </wp:anchor>
        </w:drawing>
        <w:t>September 24,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3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0860"/>
          </w:cols>
          <w:pgMar w:left="440" w:top="1080" w:right="59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June 26, 2020 (except for the reverse stock split discussed in Note 2, as to which the date is September 21, 2020) in Amendment No. 2 to the Registration Statement (Form S-1 No. 333-248627) and related Prospectus of PMV Pharmaceuticals, Inc. for the registration of shares of its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decimal"/>
      <w:start w:val="1"/>
    </w:lvl>
  </w:abstractNum>
  <w:abstractNum w:abstractNumId="1">
    <w:nsid w:val="579BE4F1"/>
    <w:multiLevelType w:val="hybridMultilevel"/>
    <w:lvl w:ilvl="0">
      <w:lvlJc w:val="left"/>
      <w:lvlText w:val="(%1)"/>
      <w:numFmt w:val="decimal"/>
      <w:start w:val="1"/>
    </w:lvl>
  </w:abstractNum>
  <w:abstractNum w:abstractNumId="2">
    <w:nsid w:val="310C50B3"/>
    <w:multiLevelType w:val="hybridMultilevel"/>
    <w:lvl w:ilvl="0">
      <w:lvlJc w:val="left"/>
      <w:lvlText w:val="(%1)"/>
      <w:numFmt w:val="decimal"/>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1)"/>
      <w:numFmt w:val="decimal"/>
      <w:start w:val="1"/>
    </w:lvl>
  </w:abstractNum>
  <w:abstractNum w:abstractNumId="11">
    <w:nsid w:val="100F8FCA"/>
    <w:multiLevelType w:val="hybridMultilevel"/>
    <w:lvl w:ilvl="0">
      <w:lvlJc w:val="left"/>
      <w:lvlText w:val="(%1)"/>
      <w:numFmt w:val="decimal"/>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1)"/>
      <w:numFmt w:val="lowerRoman"/>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
      <w:numFmt w:val="bullet"/>
      <w:start w:val="1"/>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
      <w:numFmt w:val="bullet"/>
      <w:start w:val="1"/>
    </w:lvl>
  </w:abstractNum>
  <w:abstractNum w:abstractNumId="38">
    <w:nsid w:val="14330624"/>
    <w:multiLevelType w:val="hybridMultilevel"/>
    <w:lvl w:ilvl="0">
      <w:lvlJc w:val="left"/>
      <w:lvlText w:val="•"/>
      <w:numFmt w:val="bullet"/>
      <w:start w:val="1"/>
    </w:lvl>
  </w:abstractNum>
  <w:abstractNum w:abstractNumId="39">
    <w:nsid w:val="7FFFCA11"/>
    <w:multiLevelType w:val="hybridMultilevel"/>
    <w:lvl w:ilvl="0">
      <w:lvlJc w:val="left"/>
      <w:lvlText w:val="•"/>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
      <w:numFmt w:val="bullet"/>
      <w:start w:val="1"/>
    </w:lvl>
  </w:abstractNum>
  <w:abstractNum w:abstractNumId="45">
    <w:nsid w:val="6F6DD9AC"/>
    <w:multiLevelType w:val="hybridMultilevel"/>
    <w:lvl w:ilvl="0">
      <w:lvlJc w:val="left"/>
      <w:lvlText w:val="•"/>
      <w:numFmt w:val="bullet"/>
      <w:start w:val="1"/>
    </w:lvl>
  </w:abstractNum>
  <w:abstractNum w:abstractNumId="46">
    <w:nsid w:val="94211F2"/>
    <w:multiLevelType w:val="hybridMultilevel"/>
    <w:lvl w:ilvl="0">
      <w:lvlJc w:val="left"/>
      <w:lvlText w:val="•"/>
      <w:numFmt w:val="bullet"/>
      <w:start w:val="1"/>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
      <w:numFmt w:val="bullet"/>
      <w:start w:val="1"/>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
      <w:numFmt w:val="bullet"/>
      <w:start w:val="1"/>
    </w:lvl>
  </w:abstractNum>
  <w:abstractNum w:abstractNumId="53">
    <w:nsid w:val="74DE0EE3"/>
    <w:multiLevelType w:val="hybridMultilevel"/>
    <w:lvl w:ilvl="0">
      <w:lvlJc w:val="left"/>
      <w:lvlText w:val="•"/>
      <w:numFmt w:val="bullet"/>
      <w:start w:val="1"/>
    </w:lvl>
  </w:abstractNum>
  <w:abstractNum w:abstractNumId="54">
    <w:nsid w:val="68EBC550"/>
    <w:multiLevelType w:val="hybridMultilevel"/>
    <w:lvl w:ilvl="0">
      <w:lvlJc w:val="left"/>
      <w:lvlText w:val="•"/>
      <w:numFmt w:val="bullet"/>
      <w:start w:val="1"/>
    </w:lvl>
  </w:abstractNum>
  <w:abstractNum w:abstractNumId="55">
    <w:nsid w:val="2DF6D648"/>
    <w:multiLevelType w:val="hybridMultilevel"/>
    <w:lvl w:ilvl="0">
      <w:lvlJc w:val="left"/>
      <w:lvlText w:val="(%1)"/>
      <w:numFmt w:val="decimal"/>
      <w:start w:val="1"/>
    </w:lvl>
  </w:abstractNum>
  <w:abstractNum w:abstractNumId="56">
    <w:nsid w:val="46B7D447"/>
    <w:multiLevelType w:val="hybridMultilevel"/>
    <w:lvl w:ilvl="0">
      <w:lvlJc w:val="left"/>
      <w:lvlText w:val="•"/>
      <w:numFmt w:val="bullet"/>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1)"/>
      <w:numFmt w:val="decimal"/>
      <w:start w:val="1"/>
    </w:lvl>
  </w:abstractNum>
  <w:abstractNum w:abstractNumId="60">
    <w:nsid w:val="CC1016F"/>
    <w:multiLevelType w:val="hybridMultilevel"/>
    <w:lvl w:ilvl="0">
      <w:lvlJc w:val="left"/>
      <w:lvlText w:val="(%1)"/>
      <w:numFmt w:val="decimal"/>
      <w:start w:val="1"/>
    </w:lvl>
  </w:abstractNum>
  <w:abstractNum w:abstractNumId="61">
    <w:nsid w:val="43F18422"/>
    <w:multiLevelType w:val="hybridMultilevel"/>
    <w:lvl w:ilvl="0">
      <w:lvlJc w:val="left"/>
      <w:lvlText w:val="•"/>
      <w:numFmt w:val="bullet"/>
      <w:start w:val="1"/>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
      <w:numFmt w:val="bullet"/>
      <w:start w:val="1"/>
    </w:lvl>
  </w:abstractNum>
  <w:abstractNum w:abstractNumId="64">
    <w:nsid w:val="7F01579B"/>
    <w:multiLevelType w:val="hybridMultilevel"/>
    <w:lvl w:ilvl="0">
      <w:lvlJc w:val="left"/>
      <w:lvlText w:val="•"/>
      <w:numFmt w:val="bullet"/>
      <w:start w:val="1"/>
    </w:lvl>
  </w:abstractNum>
  <w:abstractNum w:abstractNumId="65">
    <w:nsid w:val="49DA307D"/>
    <w:multiLevelType w:val="hybridMultilevel"/>
    <w:lvl w:ilvl="0">
      <w:lvlJc w:val="left"/>
      <w:lvlText w:val="•"/>
      <w:numFmt w:val="bullet"/>
      <w:start w:val="1"/>
    </w:lvl>
  </w:abstractNum>
  <w:abstractNum w:abstractNumId="66">
    <w:nsid w:val="7055A5F5"/>
    <w:multiLevelType w:val="hybridMultilevel"/>
    <w:lvl w:ilvl="0">
      <w:lvlJc w:val="left"/>
      <w:lvlText w:val="•"/>
      <w:numFmt w:val="bullet"/>
      <w:start w:val="1"/>
    </w:lvl>
  </w:abstractNum>
  <w:abstractNum w:abstractNumId="67">
    <w:nsid w:val="5FB8370B"/>
    <w:multiLevelType w:val="hybridMultilevel"/>
    <w:lvl w:ilvl="0">
      <w:lvlJc w:val="left"/>
      <w:lvlText w:val="•"/>
      <w:numFmt w:val="bullet"/>
      <w:start w:val="1"/>
    </w:lvl>
  </w:abstractNum>
  <w:abstractNum w:abstractNumId="68">
    <w:nsid w:val="50801EE1"/>
    <w:multiLevelType w:val="hybridMultilevel"/>
    <w:lvl w:ilvl="0">
      <w:lvlJc w:val="left"/>
      <w:lvlText w:val="•"/>
      <w:numFmt w:val="bullet"/>
      <w:start w:val="1"/>
    </w:lvl>
  </w:abstractNum>
  <w:abstractNum w:abstractNumId="69">
    <w:nsid w:val="488AC1A"/>
    <w:multiLevelType w:val="hybridMultilevel"/>
    <w:lvl w:ilvl="0">
      <w:lvlJc w:val="left"/>
      <w:lvlText w:val="•"/>
      <w:numFmt w:val="bullet"/>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1)"/>
      <w:numFmt w:val="decimal"/>
      <w:start w:val="1"/>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
      <w:numFmt w:val="bullet"/>
      <w:start w:val="1"/>
    </w:lvl>
  </w:abstractNum>
  <w:abstractNum w:abstractNumId="75">
    <w:nsid w:val="7D5E18F8"/>
    <w:multiLevelType w:val="hybridMultilevel"/>
    <w:lvl w:ilvl="0">
      <w:lvlJc w:val="left"/>
      <w:lvlText w:val="•"/>
      <w:numFmt w:val="bullet"/>
      <w:start w:val="1"/>
    </w:lvl>
  </w:abstractNum>
  <w:abstractNum w:abstractNumId="76">
    <w:nsid w:val="5F3534A4"/>
    <w:multiLevelType w:val="hybridMultilevel"/>
    <w:lvl w:ilvl="0">
      <w:lvlJc w:val="left"/>
      <w:lvlText w:val="•"/>
      <w:numFmt w:val="bullet"/>
      <w:start w:val="1"/>
    </w:lvl>
  </w:abstractNum>
  <w:abstractNum w:abstractNumId="77">
    <w:nsid w:val="73A1821B"/>
    <w:multiLevelType w:val="hybridMultilevel"/>
    <w:lvl w:ilvl="0">
      <w:lvlJc w:val="left"/>
      <w:lvlText w:val="•"/>
      <w:numFmt w:val="bullet"/>
      <w:start w:val="1"/>
    </w:lvl>
  </w:abstractNum>
  <w:abstractNum w:abstractNumId="78">
    <w:nsid w:val="7DE67713"/>
    <w:multiLevelType w:val="hybridMultilevel"/>
    <w:lvl w:ilvl="0">
      <w:lvlJc w:val="left"/>
      <w:lvlText w:val="(%1)"/>
      <w:numFmt w:val="decimal"/>
      <w:start w:val="1"/>
    </w:lvl>
  </w:abstractNum>
  <w:abstractNum w:abstractNumId="79">
    <w:nsid w:val="555C55B5"/>
    <w:multiLevelType w:val="hybridMultilevel"/>
    <w:lvl w:ilvl="0">
      <w:lvlJc w:val="left"/>
      <w:lvlText w:val="•"/>
      <w:numFmt w:val="bullet"/>
      <w:start w:val="1"/>
    </w:lvl>
  </w:abstractNum>
  <w:abstractNum w:abstractNumId="80">
    <w:nsid w:val="3FA62ACA"/>
    <w:multiLevelType w:val="hybridMultilevel"/>
    <w:lvl w:ilvl="0">
      <w:lvlJc w:val="left"/>
      <w:lvlText w:val="•"/>
      <w:numFmt w:val="bullet"/>
      <w:start w:val="1"/>
    </w:lvl>
  </w:abstractNum>
  <w:abstractNum w:abstractNumId="81">
    <w:nsid w:val="14FCE74E"/>
    <w:multiLevelType w:val="hybridMultilevel"/>
    <w:lvl w:ilvl="0">
      <w:lvlJc w:val="left"/>
      <w:lvlText w:val="•"/>
      <w:numFmt w:val="bullet"/>
      <w:start w:val="1"/>
    </w:lvl>
  </w:abstractNum>
  <w:abstractNum w:abstractNumId="82">
    <w:nsid w:val="6A3DD3E8"/>
    <w:multiLevelType w:val="hybridMultilevel"/>
    <w:lvl w:ilvl="0">
      <w:lvlJc w:val="left"/>
      <w:lvlText w:val="•"/>
      <w:numFmt w:val="bullet"/>
      <w:start w:val="1"/>
    </w:lvl>
  </w:abstractNum>
  <w:abstractNum w:abstractNumId="83">
    <w:nsid w:val="71C91298"/>
    <w:multiLevelType w:val="hybridMultilevel"/>
    <w:lvl w:ilvl="0">
      <w:lvlJc w:val="left"/>
      <w:lvlText w:val="•"/>
      <w:numFmt w:val="bullet"/>
      <w:start w:val="1"/>
    </w:lvl>
  </w:abstractNum>
  <w:abstractNum w:abstractNumId="84">
    <w:nsid w:val="9DAF632"/>
    <w:multiLevelType w:val="hybridMultilevel"/>
    <w:lvl w:ilvl="0">
      <w:lvlJc w:val="left"/>
      <w:lvlText w:val="(%1)"/>
      <w:numFmt w:val="decimal"/>
      <w:start w:val="1"/>
    </w:lvl>
  </w:abstractNum>
  <w:abstractNum w:abstractNumId="85">
    <w:nsid w:val="53299938"/>
    <w:multiLevelType w:val="hybridMultilevel"/>
    <w:lvl w:ilvl="0">
      <w:lvlJc w:val="left"/>
      <w:lvlText w:val="•"/>
      <w:numFmt w:val="bullet"/>
      <w:start w:val="1"/>
    </w:lvl>
  </w:abstractNum>
  <w:abstractNum w:abstractNumId="86">
    <w:nsid w:val="1FBFE8E0"/>
    <w:multiLevelType w:val="hybridMultilevel"/>
    <w:lvl w:ilvl="0">
      <w:lvlJc w:val="left"/>
      <w:lvlText w:val="•"/>
      <w:numFmt w:val="bullet"/>
      <w:start w:val="1"/>
    </w:lvl>
  </w:abstractNum>
  <w:abstractNum w:abstractNumId="87">
    <w:nsid w:val="5092CA79"/>
    <w:multiLevelType w:val="hybridMultilevel"/>
    <w:lvl w:ilvl="0">
      <w:lvlJc w:val="left"/>
      <w:lvlText w:val="•"/>
      <w:numFmt w:val="bullet"/>
      <w:start w:val="1"/>
    </w:lvl>
  </w:abstractNum>
  <w:abstractNum w:abstractNumId="88">
    <w:nsid w:val="1D545C4D"/>
    <w:multiLevelType w:val="hybridMultilevel"/>
    <w:lvl w:ilvl="0">
      <w:lvlJc w:val="left"/>
      <w:lvlText w:val="•"/>
      <w:numFmt w:val="bullet"/>
      <w:start w:val="1"/>
    </w:lvl>
  </w:abstractNum>
  <w:abstractNum w:abstractNumId="89">
    <w:nsid w:val="59ADEA3D"/>
    <w:multiLevelType w:val="hybridMultilevel"/>
    <w:lvl w:ilvl="0">
      <w:lvlJc w:val="left"/>
      <w:lvlText w:val="•"/>
      <w:numFmt w:val="bullet"/>
      <w:start w:val="1"/>
    </w:lvl>
  </w:abstractNum>
  <w:abstractNum w:abstractNumId="90">
    <w:nsid w:val="288F1A34"/>
    <w:multiLevelType w:val="hybridMultilevel"/>
    <w:lvl w:ilvl="0">
      <w:lvlJc w:val="left"/>
      <w:lvlText w:val="•"/>
      <w:numFmt w:val="bullet"/>
      <w:start w:val="1"/>
    </w:lvl>
  </w:abstractNum>
  <w:abstractNum w:abstractNumId="91">
    <w:nsid w:val="2A155DBC"/>
    <w:multiLevelType w:val="hybridMultilevel"/>
    <w:lvl w:ilvl="0">
      <w:lvlJc w:val="left"/>
      <w:lvlText w:val="(%1)"/>
      <w:numFmt w:val="decimal"/>
      <w:start w:val="1"/>
    </w:lvl>
  </w:abstractNum>
  <w:abstractNum w:abstractNumId="92">
    <w:nsid w:val="1D9F6E5F"/>
    <w:multiLevelType w:val="hybridMultilevel"/>
    <w:lvl w:ilvl="0">
      <w:lvlJc w:val="left"/>
      <w:lvlText w:val="•"/>
      <w:numFmt w:val="bullet"/>
      <w:start w:val="1"/>
    </w:lvl>
  </w:abstractNum>
  <w:abstractNum w:abstractNumId="93">
    <w:nsid w:val="97E1B4E"/>
    <w:multiLevelType w:val="hybridMultilevel"/>
    <w:lvl w:ilvl="0">
      <w:lvlJc w:val="left"/>
      <w:lvlText w:val="(%1)"/>
      <w:numFmt w:val="decimal"/>
      <w:start w:val="1"/>
    </w:lvl>
  </w:abstractNum>
  <w:abstractNum w:abstractNumId="94">
    <w:nsid w:val="51088277"/>
    <w:multiLevelType w:val="hybridMultilevel"/>
    <w:lvl w:ilvl="0">
      <w:lvlJc w:val="left"/>
      <w:lvlText w:val="(%1)"/>
      <w:numFmt w:val="decimal"/>
      <w:start w:val="1"/>
    </w:lvl>
  </w:abstractNum>
  <w:abstractNum w:abstractNumId="95">
    <w:nsid w:val="1CA0C5FA"/>
    <w:multiLevelType w:val="hybridMultilevel"/>
    <w:lvl w:ilvl="0">
      <w:lvlJc w:val="left"/>
      <w:lvlText w:val="•"/>
      <w:numFmt w:val="bullet"/>
      <w:start w:val="1"/>
    </w:lvl>
  </w:abstractNum>
  <w:abstractNum w:abstractNumId="96">
    <w:nsid w:val="53584BCB"/>
    <w:multiLevelType w:val="hybridMultilevel"/>
    <w:lvl w:ilvl="0">
      <w:lvlJc w:val="left"/>
      <w:lvlText w:val="•"/>
      <w:numFmt w:val="bullet"/>
      <w:start w:val="1"/>
    </w:lvl>
  </w:abstractNum>
  <w:abstractNum w:abstractNumId="97">
    <w:nsid w:val="415E286C"/>
    <w:multiLevelType w:val="hybridMultilevel"/>
    <w:lvl w:ilvl="0">
      <w:lvlJc w:val="left"/>
      <w:lvlText w:val="•"/>
      <w:numFmt w:val="bullet"/>
      <w:start w:val="1"/>
    </w:lvl>
  </w:abstractNum>
  <w:abstractNum w:abstractNumId="98">
    <w:nsid w:val="7C58FD05"/>
    <w:multiLevelType w:val="hybridMultilevel"/>
    <w:lvl w:ilvl="0">
      <w:lvlJc w:val="left"/>
      <w:lvlText w:val="•"/>
      <w:numFmt w:val="bullet"/>
      <w:start w:val="1"/>
    </w:lvl>
  </w:abstractNum>
  <w:abstractNum w:abstractNumId="99">
    <w:nsid w:val="23D86AAC"/>
    <w:multiLevelType w:val="hybridMultilevel"/>
    <w:lvl w:ilvl="0">
      <w:lvlJc w:val="left"/>
      <w:lvlText w:val="•"/>
      <w:numFmt w:val="bullet"/>
      <w:start w:val="1"/>
    </w:lvl>
  </w:abstractNum>
  <w:abstractNum w:abstractNumId="100">
    <w:nsid w:val="45E6D486"/>
    <w:multiLevelType w:val="hybridMultilevel"/>
    <w:lvl w:ilvl="0">
      <w:lvlJc w:val="left"/>
      <w:lvlText w:val="(%1)"/>
      <w:numFmt w:val="lowerRoman"/>
      <w:start w:val="1"/>
    </w:lvl>
  </w:abstractNum>
  <w:abstractNum w:abstractNumId="101">
    <w:nsid w:val="5C10FE21"/>
    <w:multiLevelType w:val="hybridMultilevel"/>
    <w:lvl w:ilvl="0">
      <w:lvlJc w:val="left"/>
      <w:lvlText w:val="•"/>
      <w:numFmt w:val="bullet"/>
      <w:start w:val="1"/>
    </w:lvl>
  </w:abstractNum>
  <w:abstractNum w:abstractNumId="102">
    <w:nsid w:val="E7FFA2B"/>
    <w:multiLevelType w:val="hybridMultilevel"/>
    <w:lvl w:ilvl="0">
      <w:lvlJc w:val="left"/>
      <w:lvlText w:val="•"/>
      <w:numFmt w:val="bullet"/>
      <w:start w:val="1"/>
    </w:lvl>
  </w:abstractNum>
  <w:abstractNum w:abstractNumId="103">
    <w:nsid w:val="3C5991AA"/>
    <w:multiLevelType w:val="hybridMultilevel"/>
    <w:lvl w:ilvl="0">
      <w:lvlJc w:val="left"/>
      <w:lvlText w:val="(%1)"/>
      <w:numFmt w:val="decimal"/>
      <w:start w:val="1"/>
    </w:lvl>
  </w:abstractNum>
  <w:abstractNum w:abstractNumId="104">
    <w:nsid w:val="4BD8591A"/>
    <w:multiLevelType w:val="hybridMultilevel"/>
    <w:lvl w:ilvl="0">
      <w:lvlJc w:val="left"/>
      <w:lvlText w:val="•"/>
      <w:numFmt w:val="bullet"/>
      <w:start w:val="1"/>
    </w:lvl>
  </w:abstractNum>
  <w:abstractNum w:abstractNumId="105">
    <w:nsid w:val="78DF6A55"/>
    <w:multiLevelType w:val="hybridMultilevel"/>
    <w:lvl w:ilvl="0">
      <w:lvlJc w:val="left"/>
      <w:lvlText w:val="*"/>
      <w:numFmt w:val="bullet"/>
      <w:start w:val="1"/>
    </w:lvl>
  </w:abstractNum>
  <w:abstractNum w:abstractNumId="106">
    <w:nsid w:val="39B7AAA2"/>
    <w:multiLevelType w:val="hybridMultilevel"/>
    <w:lvl w:ilvl="0">
      <w:lvlJc w:val="left"/>
      <w:lvlText w:val="(%1)"/>
      <w:numFmt w:val="decimal"/>
      <w:start w:val="1"/>
    </w:lvl>
  </w:abstractNum>
  <w:abstractNum w:abstractNumId="107">
    <w:nsid w:val="2B0D8DBE"/>
    <w:multiLevelType w:val="hybridMultilevel"/>
    <w:lvl w:ilvl="0">
      <w:lvlJc w:val="left"/>
      <w:lvlText w:val="(%1)"/>
      <w:numFmt w:val="decimal"/>
      <w:start w:val="5"/>
    </w:lvl>
  </w:abstractNum>
  <w:abstractNum w:abstractNumId="108">
    <w:nsid w:val="6C80EC70"/>
    <w:multiLevelType w:val="hybridMultilevel"/>
    <w:lvl w:ilvl="0">
      <w:lvlJc w:val="left"/>
      <w:lvlText w:val="(%1)"/>
      <w:numFmt w:val="lowerRoman"/>
      <w:start w:val="2"/>
    </w:lvl>
  </w:abstractNum>
  <w:abstractNum w:abstractNumId="109">
    <w:nsid w:val="379E21B5"/>
    <w:multiLevelType w:val="hybridMultilevel"/>
    <w:lvl w:ilvl="0">
      <w:lvlJc w:val="left"/>
      <w:lvlText w:val="•"/>
      <w:numFmt w:val="bullet"/>
      <w:start w:val="1"/>
    </w:lvl>
  </w:abstractNum>
  <w:abstractNum w:abstractNumId="110">
    <w:nsid w:val="69E373"/>
    <w:multiLevelType w:val="hybridMultilevel"/>
    <w:lvl w:ilvl="0">
      <w:lvlJc w:val="left"/>
      <w:lvlText w:val="•"/>
      <w:numFmt w:val="bullet"/>
      <w:start w:val="1"/>
    </w:lvl>
  </w:abstractNum>
  <w:abstractNum w:abstractNumId="111">
    <w:nsid w:val="2C27173B"/>
    <w:multiLevelType w:val="hybridMultilevel"/>
    <w:lvl w:ilvl="0">
      <w:lvlJc w:val="left"/>
      <w:lvlText w:val="•"/>
      <w:numFmt w:val="bullet"/>
      <w:start w:val="1"/>
    </w:lvl>
  </w:abstractNum>
  <w:abstractNum w:abstractNumId="112">
    <w:nsid w:val="4C9B0904"/>
    <w:multiLevelType w:val="hybridMultilevel"/>
    <w:lvl w:ilvl="0">
      <w:lvlJc w:val="left"/>
      <w:lvlText w:val="•"/>
      <w:numFmt w:val="bullet"/>
      <w:start w:val="1"/>
    </w:lvl>
  </w:abstractNum>
  <w:abstractNum w:abstractNumId="113">
    <w:nsid w:val="6AA7B75C"/>
    <w:multiLevelType w:val="hybridMultilevel"/>
    <w:lvl w:ilvl="0">
      <w:lvlJc w:val="left"/>
      <w:lvlText w:val="•"/>
      <w:numFmt w:val="bullet"/>
      <w:start w:val="1"/>
    </w:lvl>
  </w:abstractNum>
  <w:abstractNum w:abstractNumId="114">
    <w:nsid w:val="1DF029D3"/>
    <w:multiLevelType w:val="hybridMultilevel"/>
    <w:lvl w:ilvl="0">
      <w:lvlJc w:val="left"/>
      <w:lvlText w:val="•"/>
      <w:numFmt w:val="bullet"/>
      <w:start w:val="1"/>
    </w:lvl>
  </w:abstractNum>
  <w:abstractNum w:abstractNumId="115">
    <w:nsid w:val="5675FF36"/>
    <w:multiLevelType w:val="hybridMultilevel"/>
    <w:lvl w:ilvl="0">
      <w:lvlJc w:val="left"/>
      <w:lvlText w:val="%1."/>
      <w:numFmt w:val="decimal"/>
      <w:start w:val="2"/>
    </w:lvl>
  </w:abstractNum>
  <w:abstractNum w:abstractNumId="116">
    <w:nsid w:val="3DD15094"/>
    <w:multiLevelType w:val="hybridMultilevel"/>
    <w:lvl w:ilvl="0">
      <w:lvlJc w:val="left"/>
      <w:lvlText w:val="•"/>
      <w:numFmt w:val="bullet"/>
      <w:start w:val="1"/>
    </w:lvl>
  </w:abstractNum>
  <w:abstractNum w:abstractNumId="117">
    <w:nsid w:val="3DB012B3"/>
    <w:multiLevelType w:val="hybridMultilevel"/>
    <w:lvl w:ilvl="0">
      <w:lvlJc w:val="left"/>
      <w:lvlText w:val="(%1)"/>
      <w:numFmt w:val="lowerRoman"/>
      <w:start w:val="2"/>
    </w:lvl>
  </w:abstractNum>
  <w:abstractNum w:abstractNumId="118">
    <w:nsid w:val="2708C9AF"/>
    <w:multiLevelType w:val="hybridMultilevel"/>
    <w:lvl w:ilvl="0">
      <w:lvlJc w:val="left"/>
      <w:lvlText w:val="(%1)"/>
      <w:numFmt w:val="lowerRoman"/>
      <w:start w:val="2"/>
    </w:lvl>
  </w:abstractNum>
  <w:abstractNum w:abstractNumId="119">
    <w:nsid w:val="5B25ACE2"/>
    <w:multiLevelType w:val="hybridMultilevel"/>
    <w:lvl w:ilvl="0">
      <w:lvlJc w:val="left"/>
      <w:lvlText w:val="(%1)"/>
      <w:numFmt w:val="lowerRoman"/>
      <w:start w:val="1"/>
    </w:lvl>
  </w:abstractNum>
  <w:abstractNum w:abstractNumId="120">
    <w:nsid w:val="175DFCF0"/>
    <w:multiLevelType w:val="hybridMultilevel"/>
    <w:lvl w:ilvl="0">
      <w:lvlJc w:val="left"/>
      <w:lvlText w:val="(%1)"/>
      <w:numFmt w:val="lowerLetter"/>
      <w:start w:val="1"/>
    </w:lvl>
  </w:abstractNum>
  <w:abstractNum w:abstractNumId="121">
    <w:nsid w:val="4F97E3E4"/>
    <w:multiLevelType w:val="hybridMultilevel"/>
    <w:lvl w:ilvl="0">
      <w:lvlJc w:val="left"/>
      <w:lvlText w:val="(%1)"/>
      <w:numFmt w:val="lowerLetter"/>
      <w:start w:val="4"/>
    </w:lvl>
  </w:abstractNum>
  <w:abstractNum w:abstractNumId="122">
    <w:nsid w:val="53B0A9E"/>
    <w:multiLevelType w:val="hybridMultilevel"/>
    <w:lvl w:ilvl="0">
      <w:lvlJc w:val="left"/>
      <w:lvlText w:val="(%1)"/>
      <w:numFmt w:val="decimal"/>
      <w:start w:val="1"/>
    </w:lvl>
  </w:abstractNum>
  <w:abstractNum w:abstractNumId="123">
    <w:nsid w:val="34FD6B4F"/>
    <w:multiLevelType w:val="hybridMultilevel"/>
    <w:lvl w:ilvl="0">
      <w:lvlJc w:val="left"/>
      <w:lvlText w:val="^"/>
      <w:numFmt w:val="bullet"/>
      <w:start w:val="1"/>
    </w:lvl>
  </w:abstractNum>
  <w:abstractNum w:abstractNumId="124">
    <w:nsid w:val="5915FF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55"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jpeg"/><Relationship Id="rId334" Type="http://schemas.openxmlformats.org/officeDocument/2006/relationships/hyperlink" Target="http://www.sec.gov/Archives/edgar/data/0001699382/000119312520249570/d922470dex11.htm" TargetMode="External"/><Relationship Id="rId335" Type="http://schemas.openxmlformats.org/officeDocument/2006/relationships/hyperlink" Target="http://www.sec.gov/Archives/edgar/data/0001699382/000119312520249570/d922470dex31.htm" TargetMode="External"/><Relationship Id="rId336" Type="http://schemas.openxmlformats.org/officeDocument/2006/relationships/hyperlink" Target="http://www.sec.gov/Archives/edgar/data/0001699382/000119312520240132/d922470dex32.htm" TargetMode="External"/><Relationship Id="rId337" Type="http://schemas.openxmlformats.org/officeDocument/2006/relationships/hyperlink" Target="http://www.sec.gov/Archives/edgar/data/0001699382/000119312520240132/d922470dex33.htm" TargetMode="External"/><Relationship Id="rId338" Type="http://schemas.openxmlformats.org/officeDocument/2006/relationships/hyperlink" Target="http://www.sec.gov/Archives/edgar/data/0001699382/000119312520240132/d922470dex34.htm" TargetMode="External"/><Relationship Id="rId339" Type="http://schemas.openxmlformats.org/officeDocument/2006/relationships/hyperlink" Target="http://www.sec.gov/Archives/edgar/data/0001699382/000119312520240132/d922470dex41.htm" TargetMode="External"/><Relationship Id="rId340" Type="http://schemas.openxmlformats.org/officeDocument/2006/relationships/hyperlink" Target="http://www.sec.gov/Archives/edgar/data/0001699382/000119312520249570/d922470dex42.htm" TargetMode="External"/><Relationship Id="rId341" Type="http://schemas.openxmlformats.org/officeDocument/2006/relationships/hyperlink" Target="http://www.sec.gov/Archives/edgar/data/0001699382/000119312520240132/d922470dex101.htm" TargetMode="External"/><Relationship Id="rId342" Type="http://schemas.openxmlformats.org/officeDocument/2006/relationships/hyperlink" Target="http://www.sec.gov/Archives/edgar/data/0001699382/000119312520249570/d922470dex102.htm" TargetMode="External"/><Relationship Id="rId343" Type="http://schemas.openxmlformats.org/officeDocument/2006/relationships/hyperlink" Target="http://www.sec.gov/Archives/edgar/data/0001699382/000119312520249570/d922470dex103.htm" TargetMode="External"/><Relationship Id="rId344" Type="http://schemas.openxmlformats.org/officeDocument/2006/relationships/hyperlink" Target="http://www.sec.gov/Archives/edgar/data/0001699382/000119312520249570/d922470dex104.htm" TargetMode="External"/><Relationship Id="rId345" Type="http://schemas.openxmlformats.org/officeDocument/2006/relationships/hyperlink" Target="http://www.sec.gov/Archives/edgar/data/0001699382/000119312520240132/d922470dex105.htm" TargetMode="External"/><Relationship Id="rId346" Type="http://schemas.openxmlformats.org/officeDocument/2006/relationships/hyperlink" Target="http://www.sec.gov/Archives/edgar/data/0001699382/000119312520240132/d922470dex106.htm" TargetMode="External"/><Relationship Id="rId347" Type="http://schemas.openxmlformats.org/officeDocument/2006/relationships/hyperlink" Target="http://www.sec.gov/Archives/edgar/data/0001699382/000119312520240132/d922470dex107.htm" TargetMode="External"/><Relationship Id="rId348" Type="http://schemas.openxmlformats.org/officeDocument/2006/relationships/hyperlink" Target="http://www.sec.gov/Archives/edgar/data/0001699382/000119312520240132/d922470dex108.htm" TargetMode="External"/><Relationship Id="rId349" Type="http://schemas.openxmlformats.org/officeDocument/2006/relationships/hyperlink" Target="http://www.sec.gov/Archives/edgar/data/0001699382/000119312520240132/d922470dex109.htm" TargetMode="External"/><Relationship Id="rId350" Type="http://schemas.openxmlformats.org/officeDocument/2006/relationships/hyperlink" Target="http://www.sec.gov/Archives/edgar/data/0001699382/000119312520240132/d922470dex1010.htm" TargetMode="External"/><Relationship Id="rId351" Type="http://schemas.openxmlformats.org/officeDocument/2006/relationships/hyperlink" Target="http://www.sec.gov/Archives/edgar/data/0001699382/000119312520240132/d922470dex1011.htm" TargetMode="External"/><Relationship Id="rId352" Type="http://schemas.openxmlformats.org/officeDocument/2006/relationships/hyperlink" Target="http://www.sec.gov/Archives/edgar/data/0001699382/000119312520240132/d922470dex1012.htm" TargetMode="External"/><Relationship Id="rId353" Type="http://schemas.openxmlformats.org/officeDocument/2006/relationships/hyperlink" Target="http://www.sec.gov/Archives/edgar/data/0001699382/000119312520240132/d922470dex1013.htm" TargetMode="External"/><Relationship Id="rId354" Type="http://schemas.openxmlformats.org/officeDocument/2006/relationships/hyperlink" Target="http://www.sec.gov/Archives/edgar/data/0001699382/000119312520240132/d922470dex1014.htm" TargetMode="External"/><Relationship Id="rId356" Type="http://schemas.openxmlformats.org/officeDocument/2006/relationships/hyperlink" Target="http://www.sec.gov/Archives/edgar/data/0001699382/000119312520249570/d922470dex1015.htm" TargetMode="External"/><Relationship Id="rId357" Type="http://schemas.openxmlformats.org/officeDocument/2006/relationships/hyperlink" Target="http://www.sec.gov/Archives/edgar/data/0001699382/000119312520240132/d922470dex1016.htm" TargetMode="External"/><Relationship Id="rId358" Type="http://schemas.openxmlformats.org/officeDocument/2006/relationships/hyperlink" Target="http://www.sec.gov/Archives/edgar/data/0001699382/000119312520240132/d922470dex1017.htm" TargetMode="External"/><Relationship Id="rId359" Type="http://schemas.openxmlformats.org/officeDocument/2006/relationships/hyperlink" Target="http://www.sec.gov/Archives/edgar/data/0001699382/000119312520240132/d922470dex1018.htm" TargetMode="External"/><Relationship Id="rId360" Type="http://schemas.openxmlformats.org/officeDocument/2006/relationships/hyperlink" Target="http://www.sec.gov/Archives/edgar/data/1699382/000119312520240132/d922470ds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2020-09-24T05:37:02Z</dcterms:created>
  <dcterms:modified xsi:type="dcterms:W3CDTF">2020-09-24T05:37:02Z</dcterms:modified>
</cp:coreProperties>
</file>